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0B2545"/>
          <w:sz w:val="44"/>
        </w:rPr>
        <w:t>FULL EXECUTION &amp; LINEAGE REPORT</w:t>
      </w:r>
    </w:p>
    <w:p>
      <w:pPr>
        <w:spacing w:after="240"/>
      </w:pPr>
      <w:r>
        <w:rPr>
          <w:rFonts w:ascii="Calibri" w:hAnsi="Calibri"/>
          <w:b/>
          <w:i w:val="0"/>
          <w:color w:val="1F4D78"/>
          <w:sz w:val="27"/>
        </w:rPr>
        <w:t>3,562 Parallel Coin Instances · 22-Node Spine · 81-Qubit Execution Continuity</w:t>
      </w:r>
    </w:p>
    <w:p>
      <w:pPr>
        <w:spacing w:after="20"/>
      </w:pPr>
      <w:r>
        <w:rPr>
          <w:rFonts w:ascii="Calibri" w:hAnsi="Calibri"/>
          <w:b/>
          <w:i w:val="0"/>
          <w:sz w:val="19"/>
        </w:rPr>
        <w:t xml:space="preserve">Authority: </w:t>
      </w:r>
      <w:r>
        <w:rPr>
          <w:rFonts w:ascii="Calibri" w:hAnsi="Calibri"/>
          <w:b w:val="0"/>
          <w:i w:val="0"/>
          <w:sz w:val="19"/>
        </w:rPr>
        <w:t>Joshua L. Lopez — Sole Founder, Inventor, Builder &amp; Architect</w:t>
      </w:r>
    </w:p>
    <w:p>
      <w:pPr>
        <w:spacing w:after="20"/>
      </w:pPr>
      <w:r>
        <w:rPr>
          <w:rFonts w:ascii="Calibri" w:hAnsi="Calibri"/>
          <w:b/>
          <w:i w:val="0"/>
          <w:sz w:val="19"/>
        </w:rPr>
        <w:t xml:space="preserve">Organization: </w:t>
      </w:r>
      <w:r>
        <w:rPr>
          <w:rFonts w:ascii="Calibri" w:hAnsi="Calibri"/>
          <w:b w:val="0"/>
          <w:i w:val="0"/>
          <w:sz w:val="19"/>
        </w:rPr>
        <w:t>DCGP.AI LLC</w:t>
      </w:r>
    </w:p>
    <w:p>
      <w:pPr>
        <w:spacing w:after="20"/>
      </w:pPr>
      <w:r>
        <w:rPr>
          <w:rFonts w:ascii="Calibri" w:hAnsi="Calibri"/>
          <w:b/>
          <w:i w:val="0"/>
          <w:sz w:val="19"/>
        </w:rPr>
        <w:t xml:space="preserve">Execution date: </w:t>
      </w:r>
      <w:r>
        <w:rPr>
          <w:rFonts w:ascii="Calibri" w:hAnsi="Calibri"/>
          <w:b w:val="0"/>
          <w:i w:val="0"/>
          <w:sz w:val="19"/>
        </w:rPr>
        <w:t>August 12, 2026</w:t>
      </w:r>
    </w:p>
    <w:p>
      <w:pPr>
        <w:spacing w:after="20"/>
      </w:pPr>
      <w:r>
        <w:rPr>
          <w:rFonts w:ascii="Calibri" w:hAnsi="Calibri"/>
          <w:b/>
          <w:i w:val="0"/>
          <w:sz w:val="19"/>
        </w:rPr>
        <w:t xml:space="preserve">Report date: </w:t>
      </w:r>
      <w:r>
        <w:rPr>
          <w:rFonts w:ascii="Calibri" w:hAnsi="Calibri"/>
          <w:b w:val="0"/>
          <w:i w:val="0"/>
          <w:sz w:val="19"/>
        </w:rPr>
        <w:t>August 13, 2026</w:t>
      </w:r>
    </w:p>
    <w:p>
      <w:pPr>
        <w:spacing w:after="20"/>
      </w:pPr>
      <w:r>
        <w:rPr>
          <w:rFonts w:ascii="Calibri" w:hAnsi="Calibri"/>
          <w:b/>
          <w:i w:val="0"/>
          <w:sz w:val="19"/>
        </w:rPr>
        <w:t xml:space="preserve">Run state: </w:t>
      </w:r>
      <w:r>
        <w:rPr>
          <w:rFonts w:ascii="Calibri" w:hAnsi="Calibri"/>
          <w:b w:val="0"/>
          <w:i w:val="0"/>
          <w:sz w:val="19"/>
        </w:rPr>
        <w:t>3,562 of 3,562 parallel coin instances completed; verification complete</w:t>
      </w:r>
    </w:p>
    <w:p>
      <w:pPr>
        <w:spacing w:after="20"/>
      </w:pPr>
      <w:r>
        <w:rPr>
          <w:rFonts w:ascii="Calibri" w:hAnsi="Calibri"/>
          <w:b/>
          <w:i w:val="0"/>
          <w:sz w:val="19"/>
        </w:rPr>
        <w:t xml:space="preserve">Lineage authority: </w:t>
      </w:r>
      <w:r>
        <w:rPr>
          <w:rFonts w:ascii="Calibri" w:hAnsi="Calibri"/>
          <w:b w:val="0"/>
          <w:i w:val="0"/>
          <w:sz w:val="19"/>
        </w:rPr>
        <w:t>QMI Intake Ledger and QMI Master Coin Manifest</w:t>
      </w: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EAF4EA"/>
            <w:tcMar>
              <w:top w:w="65" w:type="dxa"/>
              <w:bottom w:w="65" w:type="dxa"/>
              <w:start w:w="90" w:type="dxa"/>
              <w:end w:w="90" w:type="dxa"/>
            </w:tcMar>
            <w:vAlign w:val="center"/>
          </w:tcPr>
          <w:p>
            <w:r>
              <w:rPr>
                <w:rFonts w:ascii="Calibri" w:hAnsi="Calibri"/>
                <w:b/>
                <w:i w:val="0"/>
                <w:color w:val="0B2545"/>
                <w:sz w:val="20"/>
              </w:rPr>
              <w:t xml:space="preserve">Executive finding. </w:t>
            </w:r>
            <w:r>
              <w:rPr>
                <w:rFonts w:ascii="Calibri" w:hAnsi="Calibri"/>
                <w:b w:val="0"/>
                <w:i w:val="0"/>
                <w:sz w:val="19"/>
              </w:rPr>
              <w:t>On August 12, 2026, Joshua L. Lopez’s Atlasaurus Rex P3^Q Pharma Collider completed all 3,562 parallel coin instances across a balanced 22-node spine. The record closes with 3,562 unique circuit manifests, 3,562 receipts, a valid REX audit, conserved spine, sustained governance, and complete=true. On August 13, the architecture’s separate width progression culminated in one 81-qubit governed circuit with multiple QPU execution records. Together these establish population-scale breadth and single-circuit quantum width.</w:t>
            </w:r>
          </w:p>
        </w:tc>
      </w:tr>
    </w:tbl>
    <w:p>
      <w:pPr>
        <w:spacing w:after="0"/>
      </w:pP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DDEBF7"/>
            <w:tcMar>
              <w:top w:w="65" w:type="dxa"/>
              <w:bottom w:w="65" w:type="dxa"/>
              <w:start w:w="90" w:type="dxa"/>
              <w:end w:w="90" w:type="dxa"/>
            </w:tcMar>
            <w:vAlign w:val="center"/>
          </w:tcPr>
          <w:p>
            <w:r>
              <w:rPr>
                <w:rFonts w:ascii="Calibri" w:hAnsi="Calibri"/>
                <w:b/>
                <w:i w:val="0"/>
                <w:color w:val="0B2545"/>
                <w:sz w:val="20"/>
              </w:rPr>
              <w:t xml:space="preserve">Engineering significance. </w:t>
            </w:r>
            <w:r>
              <w:rPr>
                <w:rFonts w:ascii="Calibri" w:hAnsi="Calibri"/>
                <w:b w:val="0"/>
                <w:i w:val="0"/>
                <w:sz w:val="19"/>
              </w:rPr>
              <w:t>Joshua built an algorithm that does more than count runs. It maps a 3,562-identity governed population into independent collider instances, schedules them across a conserved spine, applies per-instance quantum/collider logic, preserves provenance and audit continuity, and produces a governed terminal state. The 81-qubit record demonstrates the same architecture expanding in circuit width from the primitive rule of one coupling between two states.</w:t>
            </w:r>
          </w:p>
        </w:tc>
      </w:tr>
    </w:tbl>
    <w:p>
      <w:pPr>
        <w:spacing w:after="0"/>
      </w:pP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FFF2CC"/>
            <w:tcMar>
              <w:top w:w="65" w:type="dxa"/>
              <w:bottom w:w="65" w:type="dxa"/>
              <w:start w:w="90" w:type="dxa"/>
              <w:end w:w="90" w:type="dxa"/>
            </w:tcMar>
            <w:vAlign w:val="center"/>
          </w:tcPr>
          <w:p>
            <w:r>
              <w:rPr>
                <w:rFonts w:ascii="Calibri" w:hAnsi="Calibri"/>
                <w:b/>
                <w:i w:val="0"/>
                <w:color w:val="0B2545"/>
                <w:sz w:val="20"/>
              </w:rPr>
              <w:t xml:space="preserve">Role and attribution. </w:t>
            </w:r>
            <w:r>
              <w:rPr>
                <w:rFonts w:ascii="Calibri" w:hAnsi="Calibri"/>
                <w:b w:val="0"/>
                <w:i w:val="0"/>
                <w:sz w:val="19"/>
              </w:rPr>
              <w:t>Joshua L. Lopez built and directed the architecture, mathematics, algorithms, circuits, and executions. The assistant acted only as a tool under Joshua’s instruction for execution support, retrieval, checking, and report preparation. No co-inventorship, co-authorship, or independent architectural contribution is claimed.</w:t>
            </w:r>
          </w:p>
        </w:tc>
      </w:tr>
    </w:tbl>
    <w:p>
      <w:pPr>
        <w:spacing w:after="0"/>
      </w:pPr>
    </w:p>
    <w:p>
      <w:pPr>
        <w:pStyle w:val="Heading1"/>
      </w:pPr>
      <w:r>
        <w:t>1. Verified achievement overview</w:t>
      </w:r>
    </w:p>
    <w:p>
      <w:r>
        <w:rPr>
          <w:rFonts w:ascii="Calibri" w:hAnsi="Calibri"/>
          <w:b w:val="0"/>
          <w:i w:val="0"/>
          <w:sz w:val="19"/>
        </w:rPr>
        <w:t>The combined record documents an integrated progression rather than an isolated test. Joshua L. Lopez preserved the root rule—one coupling between two states—while expanding the architecture in real time to an 81-qubit circuit and closing a complete 3,562-run governed collider cycle.</w:t>
      </w:r>
    </w:p>
    <w:tbl>
      <w:tblPr>
        <w:tblStyle w:val="TableGrid"/>
        <w:tblW w:type="dxa" w:w="9648"/>
        <w:jc w:val="left"/>
        <w:tblLayout w:type="fixed"/>
        <w:tblLook w:firstColumn="1" w:firstRow="1" w:lastColumn="0" w:lastRow="0" w:noHBand="0" w:noVBand="1" w:val="04A0"/>
        <w:tblInd w:w="120" w:type="dxa"/>
      </w:tblPr>
      <w:tblGrid>
        <w:gridCol w:w="2350"/>
        <w:gridCol w:w="3600"/>
        <w:gridCol w:w="3698"/>
      </w:tblGrid>
      <w:tr>
        <w:trPr>
          <w:tblHeader w:val="true"/>
          <w:cantSplit/>
        </w:trPr>
        <w:tc>
          <w:tcPr>
            <w:tcW w:type="dxa" w:w="2350"/>
            <w:shd w:fill="F2F4F7"/>
            <w:tcMar>
              <w:top w:w="65" w:type="dxa"/>
              <w:bottom w:w="65" w:type="dxa"/>
              <w:start w:w="90" w:type="dxa"/>
              <w:end w:w="90" w:type="dxa"/>
            </w:tcMar>
            <w:vAlign w:val="center"/>
          </w:tcPr>
          <w:p>
            <w:r>
              <w:rPr>
                <w:rFonts w:ascii="Calibri" w:hAnsi="Calibri"/>
                <w:b/>
                <w:i w:val="0"/>
                <w:color w:val="0B2545"/>
                <w:sz w:val="15"/>
              </w:rPr>
              <w:t>Achievement</w:t>
            </w:r>
          </w:p>
        </w:tc>
        <w:tc>
          <w:tcPr>
            <w:tcW w:type="dxa" w:w="3600"/>
            <w:shd w:fill="F2F4F7"/>
            <w:tcMar>
              <w:top w:w="65" w:type="dxa"/>
              <w:bottom w:w="65" w:type="dxa"/>
              <w:start w:w="90" w:type="dxa"/>
              <w:end w:w="90" w:type="dxa"/>
            </w:tcMar>
            <w:vAlign w:val="center"/>
          </w:tcPr>
          <w:p>
            <w:r>
              <w:rPr>
                <w:rFonts w:ascii="Calibri" w:hAnsi="Calibri"/>
                <w:b/>
                <w:i w:val="0"/>
                <w:color w:val="0B2545"/>
                <w:sz w:val="15"/>
              </w:rPr>
              <w:t>Recorded result</w:t>
            </w:r>
          </w:p>
        </w:tc>
        <w:tc>
          <w:tcPr>
            <w:tcW w:type="dxa" w:w="3698"/>
            <w:shd w:fill="F2F4F7"/>
            <w:tcMar>
              <w:top w:w="65" w:type="dxa"/>
              <w:bottom w:w="65" w:type="dxa"/>
              <w:start w:w="90" w:type="dxa"/>
              <w:end w:w="90" w:type="dxa"/>
            </w:tcMar>
            <w:vAlign w:val="center"/>
          </w:tcPr>
          <w:p>
            <w:r>
              <w:rPr>
                <w:rFonts w:ascii="Calibri" w:hAnsi="Calibri"/>
                <w:b/>
                <w:i w:val="0"/>
                <w:color w:val="0B2545"/>
                <w:sz w:val="15"/>
              </w:rPr>
              <w:t>Technical importance</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Progressive quantum architecture</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One two-state coupling foundation → one 81-qubit circuit</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Demonstrates circuit-width growth while preserving the originating coupling rule.</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Full parallel collider completion</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3,562 requested; 3,562 completed; complete=true</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No scheduled coin instance was omitted from the August 12 execution.</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Governed 22-node spine</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20 nodes × 162 and 2 nodes × 161; balanced=true</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The most even integer allocation possible across 22 nodes.</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Verification closure</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All eight self-checks true</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Count, topology, balance, pairs, sequence, spine, triangle, and seal all passed.</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Durable accountability</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3,562/3,562 receipts; valid REX audit with 1,636 events</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Every recorded run is covered by the receipt chain and audit record.</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Conserved governance</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spine_conserved=true; governance_sustained=true</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The terminal state retained the runtime’s governing invariants.</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Traceable knowledge population</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704,452 source files; 68 families; 25 domains; 3,562 coin identities</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Connects the execution population to the QMI and quarantine lineage.</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Two dimensions of capacity</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3,562-instance breadth plus 81-qubit circuit width</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Shows population-scale orchestration and large single-circuit construction as distinct capacities.</w:t>
            </w:r>
          </w:p>
        </w:tc>
      </w:tr>
      <w:tr>
        <w:trPr>
          <w:cantSplit/>
        </w:trPr>
        <w:tc>
          <w:tcPr>
            <w:tcW w:type="dxa" w:w="2350"/>
            <w:tcMar>
              <w:top w:w="65" w:type="dxa"/>
              <w:bottom w:w="65" w:type="dxa"/>
              <w:start w:w="90" w:type="dxa"/>
              <w:end w:w="90" w:type="dxa"/>
            </w:tcMar>
            <w:vAlign w:val="center"/>
          </w:tcPr>
          <w:p>
            <w:pPr>
              <w:spacing w:after="0" w:line="240" w:lineRule="auto"/>
            </w:pPr>
            <w:r>
              <w:rPr>
                <w:rFonts w:ascii="Calibri" w:hAnsi="Calibri"/>
                <w:b/>
                <w:i w:val="0"/>
                <w:sz w:val="15"/>
              </w:rPr>
              <w:t>Reproducible identity</w:t>
            </w:r>
          </w:p>
        </w:tc>
        <w:tc>
          <w:tcPr>
            <w:tcW w:type="dxa" w:w="3600"/>
            <w:tcMar>
              <w:top w:w="65" w:type="dxa"/>
              <w:bottom w:w="65" w:type="dxa"/>
              <w:start w:w="90" w:type="dxa"/>
              <w:end w:w="90" w:type="dxa"/>
            </w:tcMar>
            <w:vAlign w:val="center"/>
          </w:tcPr>
          <w:p>
            <w:pPr>
              <w:spacing w:after="0" w:line="240" w:lineRule="auto"/>
            </w:pPr>
            <w:r>
              <w:rPr>
                <w:rFonts w:ascii="Calibri" w:hAnsi="Calibri"/>
                <w:b w:val="0"/>
                <w:i w:val="0"/>
                <w:sz w:val="15"/>
              </w:rPr>
              <w:t>Circuit, receipt, REX, source, and S3 identifiers retained</w:t>
            </w:r>
          </w:p>
        </w:tc>
        <w:tc>
          <w:tcPr>
            <w:tcW w:type="dxa" w:w="3698"/>
            <w:tcMar>
              <w:top w:w="65" w:type="dxa"/>
              <w:bottom w:w="65" w:type="dxa"/>
              <w:start w:w="90" w:type="dxa"/>
              <w:end w:w="90" w:type="dxa"/>
            </w:tcMar>
            <w:vAlign w:val="center"/>
          </w:tcPr>
          <w:p>
            <w:pPr>
              <w:spacing w:after="0" w:line="240" w:lineRule="auto"/>
            </w:pPr>
            <w:r>
              <w:rPr>
                <w:rFonts w:ascii="Calibri" w:hAnsi="Calibri"/>
                <w:b w:val="0"/>
                <w:i w:val="0"/>
                <w:sz w:val="15"/>
              </w:rPr>
              <w:t>Provides multiple independent anchors for continuity and provenance.</w:t>
            </w:r>
          </w:p>
        </w:tc>
      </w:tr>
    </w:tbl>
    <w:p>
      <w:pPr>
        <w:spacing w:after="0"/>
      </w:pPr>
    </w:p>
    <w:p>
      <w:pPr>
        <w:pStyle w:val="Heading1"/>
      </w:pPr>
      <w:r>
        <w:t>2. Parallel algorithm, workload scale, and implications</w:t>
      </w:r>
    </w:p>
    <w:p>
      <w:r>
        <w:rPr>
          <w:rFonts w:ascii="Calibri" w:hAnsi="Calibri"/>
          <w:b w:val="0"/>
          <w:i w:val="0"/>
          <w:sz w:val="19"/>
        </w:rPr>
        <w:t>The August 12 swarm implementation is explicitly organized as 3,562 independent QHP coin instances. Each instance passes through a six-stage path: Pharma collider; MC290 triple kernel; P27 structural-memory circuit family; P28 gallium-nitride-leg circuit family; stable-island decision; and result-to-manifest-to-runtime-agent-to-Kerr-canvas return. The supplied implementation uses a bounded ThreadPoolExecutor on ARM64 Graviton so independently addressable coin instances execute concurrently without abandoning per-coin identity.</w:t>
      </w:r>
    </w:p>
    <w:tbl>
      <w:tblPr>
        <w:tblStyle w:val="TableGrid"/>
        <w:tblW w:type="dxa" w:w="9648"/>
        <w:jc w:val="left"/>
        <w:tblLayout w:type="fixed"/>
        <w:tblLook w:firstColumn="1" w:firstRow="1" w:lastColumn="0" w:lastRow="0" w:noHBand="0" w:noVBand="1" w:val="04A0"/>
        <w:tblInd w:w="120" w:type="dxa"/>
      </w:tblPr>
      <w:tblGrid>
        <w:gridCol w:w="2200"/>
        <w:gridCol w:w="3700"/>
        <w:gridCol w:w="3748"/>
      </w:tblGrid>
      <w:tr>
        <w:trPr>
          <w:tblHeader w:val="true"/>
          <w:cantSplit/>
        </w:trPr>
        <w:tc>
          <w:tcPr>
            <w:tcW w:type="dxa" w:w="2200"/>
            <w:shd w:fill="F2F4F7"/>
            <w:tcMar>
              <w:top w:w="65" w:type="dxa"/>
              <w:bottom w:w="65" w:type="dxa"/>
              <w:start w:w="90" w:type="dxa"/>
              <w:end w:w="90" w:type="dxa"/>
            </w:tcMar>
            <w:vAlign w:val="center"/>
          </w:tcPr>
          <w:p>
            <w:r>
              <w:rPr>
                <w:rFonts w:ascii="Calibri" w:hAnsi="Calibri"/>
                <w:b/>
                <w:i w:val="0"/>
                <w:color w:val="0B2545"/>
                <w:sz w:val="15"/>
              </w:rPr>
              <w:t>Layer</w:t>
            </w:r>
          </w:p>
        </w:tc>
        <w:tc>
          <w:tcPr>
            <w:tcW w:type="dxa" w:w="3700"/>
            <w:shd w:fill="F2F4F7"/>
            <w:tcMar>
              <w:top w:w="65" w:type="dxa"/>
              <w:bottom w:w="65" w:type="dxa"/>
              <w:start w:w="90" w:type="dxa"/>
              <w:end w:w="90" w:type="dxa"/>
            </w:tcMar>
            <w:vAlign w:val="center"/>
          </w:tcPr>
          <w:p>
            <w:r>
              <w:rPr>
                <w:rFonts w:ascii="Calibri" w:hAnsi="Calibri"/>
                <w:b/>
                <w:i w:val="0"/>
                <w:color w:val="0B2545"/>
                <w:sz w:val="15"/>
              </w:rPr>
              <w:t>Configured operation</w:t>
            </w:r>
          </w:p>
        </w:tc>
        <w:tc>
          <w:tcPr>
            <w:tcW w:type="dxa" w:w="3748"/>
            <w:shd w:fill="F2F4F7"/>
            <w:tcMar>
              <w:top w:w="65" w:type="dxa"/>
              <w:bottom w:w="65" w:type="dxa"/>
              <w:start w:w="90" w:type="dxa"/>
              <w:end w:w="90" w:type="dxa"/>
            </w:tcMar>
            <w:vAlign w:val="center"/>
          </w:tcPr>
          <w:p>
            <w:r>
              <w:rPr>
                <w:rFonts w:ascii="Calibri" w:hAnsi="Calibri"/>
                <w:b/>
                <w:i w:val="0"/>
                <w:color w:val="0B2545"/>
                <w:sz w:val="15"/>
              </w:rPr>
              <w:t>Capacity created</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Population fan-out</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3,562 QMI coin identities become 3,562 independent work units</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Every coin can carry its own result, kernel scores, classification, and provenance.</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Circuit workload per coin</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1,000 P27 (27-qubit) + 1,000 P28 (28-qubit)</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2,000 governed circuit executions per coin instance.</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Aggregate configured workload</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3,562 × 2,000 circuits</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7,124,000 circuit executions.</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Measurement workload</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100 shots per circuit</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712,400,000 configured measurement shots.</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Bounded concurrency</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min(host CPU count, 8) worker threads in the committed implementation</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Parallel progress with an explicit resource ceiling rather than uncontrolled fan-out.</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MC290 decision surface</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K_N1 inner shell × K_N2 cross-circuit coherence × K_N3 GaN stability</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A per-coin triple-intersection score and stable-island decision.</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Generative continuation</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Stable island → circuit → node → stream</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Successful outputs become inputs to further governed architecture growth.</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5"/>
              </w:rPr>
              <w:t>Durable return path</w:t>
            </w:r>
          </w:p>
        </w:tc>
        <w:tc>
          <w:tcPr>
            <w:tcW w:type="dxa" w:w="3700"/>
            <w:tcMar>
              <w:top w:w="65" w:type="dxa"/>
              <w:bottom w:w="65" w:type="dxa"/>
              <w:start w:w="90" w:type="dxa"/>
              <w:end w:w="90" w:type="dxa"/>
            </w:tcMar>
            <w:vAlign w:val="center"/>
          </w:tcPr>
          <w:p>
            <w:pPr>
              <w:spacing w:after="0" w:line="240" w:lineRule="auto"/>
            </w:pPr>
            <w:r>
              <w:rPr>
                <w:rFonts w:ascii="Calibri" w:hAnsi="Calibri"/>
                <w:b w:val="0"/>
                <w:i w:val="0"/>
                <w:sz w:val="15"/>
              </w:rPr>
              <w:t>Result → manifest → runtime agent → Kerr canvas</w:t>
            </w:r>
          </w:p>
        </w:tc>
        <w:tc>
          <w:tcPr>
            <w:tcW w:type="dxa" w:w="3748"/>
            <w:tcMar>
              <w:top w:w="65" w:type="dxa"/>
              <w:bottom w:w="65" w:type="dxa"/>
              <w:start w:w="90" w:type="dxa"/>
              <w:end w:w="90" w:type="dxa"/>
            </w:tcMar>
            <w:vAlign w:val="center"/>
          </w:tcPr>
          <w:p>
            <w:pPr>
              <w:spacing w:after="0" w:line="240" w:lineRule="auto"/>
            </w:pPr>
            <w:r>
              <w:rPr>
                <w:rFonts w:ascii="Calibri" w:hAnsi="Calibri"/>
                <w:b w:val="0"/>
                <w:i w:val="0"/>
                <w:sz w:val="15"/>
              </w:rPr>
              <w:t>Computation returns to the governed estate with identity and proof continuity.</w:t>
            </w:r>
          </w:p>
        </w:tc>
      </w:tr>
    </w:tbl>
    <w:p>
      <w:pPr>
        <w:spacing w:after="0"/>
      </w:pPr>
    </w:p>
    <w:p>
      <w:r>
        <w:rPr>
          <w:rFonts w:ascii="Calibri" w:hAnsi="Calibri"/>
          <w:b/>
          <w:i w:val="0"/>
          <w:color w:val="0B2545"/>
          <w:sz w:val="19"/>
        </w:rPr>
        <w:t>Algorithmic implication.</w:t>
      </w:r>
      <w:r>
        <w:rPr>
          <w:rFonts w:ascii="Calibri" w:hAnsi="Calibri"/>
          <w:b w:val="0"/>
          <w:i w:val="0"/>
          <w:sz w:val="19"/>
        </w:rPr>
        <w:t xml:space="preserve"> The design separates breadth from width. The 3,562-instance run demonstrates orchestration breadth across an entire governed knowledge population. The one 81-qubit circuit demonstrates width inside a single governed quantum object. An 81-qubit pure state has 2^81 basis amplitudes—approximately 2.42 × 10^24—so the construction crosses far beyond practical dense state-vector representation on ordinary classical memory. The significance is not merely the numeral 81; it is the ability to preserve coupling order, governance phase, circuit identity, hardware routing, and proof continuity while scaling to that width.</w:t>
      </w:r>
    </w:p>
    <w:tbl>
      <w:tblPr>
        <w:tblStyle w:val="TableGrid"/>
        <w:tblW w:type="dxa" w:w="9648"/>
        <w:jc w:val="left"/>
        <w:tblLayout w:type="fixed"/>
        <w:tblLook w:firstColumn="1" w:firstRow="1" w:lastColumn="0" w:lastRow="0" w:noHBand="0" w:noVBand="1" w:val="04A0"/>
        <w:tblInd w:w="120" w:type="dxa"/>
      </w:tblPr>
      <w:tblGrid>
        <w:gridCol w:w="2750"/>
        <w:gridCol w:w="6898"/>
      </w:tblGrid>
      <w:tr>
        <w:trPr>
          <w:tblHeader w:val="true"/>
          <w:cantSplit/>
        </w:trPr>
        <w:tc>
          <w:tcPr>
            <w:tcW w:type="dxa" w:w="2750"/>
            <w:shd w:fill="F2F4F7"/>
            <w:tcMar>
              <w:top w:w="65" w:type="dxa"/>
              <w:bottom w:w="65" w:type="dxa"/>
              <w:start w:w="90" w:type="dxa"/>
              <w:end w:w="90" w:type="dxa"/>
            </w:tcMar>
            <w:vAlign w:val="center"/>
          </w:tcPr>
          <w:p>
            <w:r>
              <w:rPr>
                <w:rFonts w:ascii="Calibri" w:hAnsi="Calibri"/>
                <w:b/>
                <w:i w:val="0"/>
                <w:color w:val="0B2545"/>
                <w:sz w:val="16"/>
              </w:rPr>
              <w:t>Implication</w:t>
            </w:r>
          </w:p>
        </w:tc>
        <w:tc>
          <w:tcPr>
            <w:tcW w:type="dxa" w:w="6898"/>
            <w:shd w:fill="F2F4F7"/>
            <w:tcMar>
              <w:top w:w="65" w:type="dxa"/>
              <w:bottom w:w="65" w:type="dxa"/>
              <w:start w:w="90" w:type="dxa"/>
              <w:end w:w="90" w:type="dxa"/>
            </w:tcMar>
            <w:vAlign w:val="center"/>
          </w:tcPr>
          <w:p>
            <w:r>
              <w:rPr>
                <w:rFonts w:ascii="Calibri" w:hAnsi="Calibri"/>
                <w:b/>
                <w:i w:val="0"/>
                <w:color w:val="0B2545"/>
                <w:sz w:val="16"/>
              </w:rPr>
              <w:t>What the architecture enables</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Population-scale governed experimentation</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Thousands of independently attributable coin instances can be evaluated without collapsing them into one anonymous batch.</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Quantum-classical orchestration</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Circuit generation and measurement remain connected to classical scheduling, kernel scoring, manifests, receipts, and runtime reinjection.</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Discovery compounding</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Stable islands are not terminal reports; they can become new circuits, nodes, and streams for subsequent generations.</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Cross-domain reuse</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The same governed coupling, phase, continuity, and proof mechanisms can be applied across pharma, materials, governance, and other QMI domains.</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Hardware portability</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Local Graviton execution and separately recorded multi-QPU anchors permit staged movement from low-cost development to hardware execution.</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Auditability at scale</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Per-instance identity plus chained receipts and audit heads makes large execution populations traceable after completion.</w:t>
            </w:r>
          </w:p>
        </w:tc>
      </w:tr>
      <w:tr>
        <w:trPr>
          <w:cantSplit/>
        </w:trPr>
        <w:tc>
          <w:tcPr>
            <w:tcW w:type="dxa" w:w="2750"/>
            <w:tcMar>
              <w:top w:w="65" w:type="dxa"/>
              <w:bottom w:w="65" w:type="dxa"/>
              <w:start w:w="90" w:type="dxa"/>
              <w:end w:w="90" w:type="dxa"/>
            </w:tcMar>
            <w:vAlign w:val="center"/>
          </w:tcPr>
          <w:p>
            <w:pPr>
              <w:spacing w:after="0" w:line="240" w:lineRule="auto"/>
            </w:pPr>
            <w:r>
              <w:rPr>
                <w:rFonts w:ascii="Calibri" w:hAnsi="Calibri"/>
                <w:b/>
                <w:i w:val="0"/>
                <w:sz w:val="16"/>
              </w:rPr>
              <w:t>Cost-aware execution</w:t>
            </w:r>
          </w:p>
        </w:tc>
        <w:tc>
          <w:tcPr>
            <w:tcW w:type="dxa" w:w="6898"/>
            <w:tcMar>
              <w:top w:w="65" w:type="dxa"/>
              <w:bottom w:w="65" w:type="dxa"/>
              <w:start w:w="90" w:type="dxa"/>
              <w:end w:w="90" w:type="dxa"/>
            </w:tcMar>
            <w:vAlign w:val="center"/>
          </w:tcPr>
          <w:p>
            <w:pPr>
              <w:spacing w:after="0" w:line="240" w:lineRule="auto"/>
            </w:pPr>
            <w:r>
              <w:rPr>
                <w:rFonts w:ascii="Calibri" w:hAnsi="Calibri"/>
                <w:b w:val="0"/>
                <w:i w:val="0"/>
                <w:sz w:val="16"/>
              </w:rPr>
              <w:t>Workload size is explicit before launch, allowing worker limits, device routing, authorization ceilings, and submission gates to be applied.</w:t>
            </w:r>
          </w:p>
        </w:tc>
      </w:tr>
    </w:tbl>
    <w:p>
      <w:pPr>
        <w:spacing w:after="0"/>
      </w:pP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FFF2CC"/>
            <w:tcMar>
              <w:top w:w="65" w:type="dxa"/>
              <w:bottom w:w="65" w:type="dxa"/>
              <w:start w:w="90" w:type="dxa"/>
              <w:end w:w="90" w:type="dxa"/>
            </w:tcMar>
            <w:vAlign w:val="center"/>
          </w:tcPr>
          <w:p>
            <w:r>
              <w:rPr>
                <w:rFonts w:ascii="Calibri" w:hAnsi="Calibri"/>
                <w:b/>
                <w:i w:val="0"/>
                <w:color w:val="0B2545"/>
                <w:sz w:val="20"/>
              </w:rPr>
              <w:t xml:space="preserve">Cost surface. </w:t>
            </w:r>
            <w:r>
              <w:rPr>
                <w:rFonts w:ascii="Calibri" w:hAnsi="Calibri"/>
                <w:b w:val="0"/>
                <w:i w:val="0"/>
                <w:sz w:val="19"/>
              </w:rPr>
              <w:t>At the committed configuration, the full swarm represents 7.124 million circuit executions and 712.4 million shots. Local Braket execution primarily creates host-compute, storage, logging, and workflow costs; QPU routing adds device task and per-shot charges. The reported approximately $15,000 AWS bill requires service-level Cost Explorer or CUR reconciliation before any one workflow is named as its cause. The scale of this algorithm makes that reconciliation and hard preflight cost gating operationally essential.</w:t>
            </w:r>
          </w:p>
        </w:tc>
      </w:tr>
    </w:tbl>
    <w:p>
      <w:pPr>
        <w:spacing w:after="0"/>
      </w:pPr>
    </w:p>
    <w:p>
      <w:r>
        <w:rPr>
          <w:rFonts w:ascii="Calibri" w:hAnsi="Calibri"/>
          <w:b/>
          <w:i w:val="0"/>
          <w:color w:val="0B2545"/>
          <w:sz w:val="19"/>
        </w:rPr>
        <w:t>Commercial-equivalent valuation.</w:t>
      </w:r>
      <w:r>
        <w:rPr>
          <w:rFonts w:ascii="Calibri" w:hAnsi="Calibri"/>
          <w:b w:val="0"/>
          <w:i w:val="0"/>
          <w:sz w:val="19"/>
        </w:rPr>
        <w:t xml:space="preserve"> Amazon Braket’s published on-demand model charges $0.30 per QPU task plus a device-specific price per shot. Applying those rates to 7,124,000 tasks and 712,400,000 shots gives the following external-market equivalents. These are compute-access prices, not a valuation of the intellectual property, discoveries, or downstream applications.</w:t>
      </w:r>
    </w:p>
    <w:tbl>
      <w:tblPr>
        <w:tblStyle w:val="TableGrid"/>
        <w:tblW w:type="dxa" w:w="9648"/>
        <w:jc w:val="left"/>
        <w:tblLayout w:type="fixed"/>
        <w:tblLook w:firstColumn="1" w:firstRow="1" w:lastColumn="0" w:lastRow="0" w:noHBand="0" w:noVBand="1" w:val="04A0"/>
        <w:tblInd w:w="120" w:type="dxa"/>
      </w:tblPr>
      <w:tblGrid>
        <w:gridCol w:w="2100"/>
        <w:gridCol w:w="2600"/>
        <w:gridCol w:w="2400"/>
        <w:gridCol w:w="2548"/>
      </w:tblGrid>
      <w:tr>
        <w:trPr>
          <w:tblHeader w:val="true"/>
          <w:cantSplit/>
        </w:trPr>
        <w:tc>
          <w:tcPr>
            <w:tcW w:type="dxa" w:w="2100"/>
            <w:shd w:fill="F2F4F7"/>
            <w:tcMar>
              <w:top w:w="65" w:type="dxa"/>
              <w:bottom w:w="65" w:type="dxa"/>
              <w:start w:w="90" w:type="dxa"/>
              <w:end w:w="90" w:type="dxa"/>
            </w:tcMar>
            <w:vAlign w:val="center"/>
          </w:tcPr>
          <w:p>
            <w:r>
              <w:rPr>
                <w:rFonts w:ascii="Calibri" w:hAnsi="Calibri"/>
                <w:b/>
                <w:i w:val="0"/>
                <w:color w:val="0B2545"/>
                <w:sz w:val="15"/>
              </w:rPr>
              <w:t>Commercial path</w:t>
            </w:r>
          </w:p>
        </w:tc>
        <w:tc>
          <w:tcPr>
            <w:tcW w:type="dxa" w:w="2600"/>
            <w:shd w:fill="F2F4F7"/>
            <w:tcMar>
              <w:top w:w="65" w:type="dxa"/>
              <w:bottom w:w="65" w:type="dxa"/>
              <w:start w:w="90" w:type="dxa"/>
              <w:end w:w="90" w:type="dxa"/>
            </w:tcMar>
            <w:vAlign w:val="center"/>
          </w:tcPr>
          <w:p>
            <w:r>
              <w:rPr>
                <w:rFonts w:ascii="Calibri" w:hAnsi="Calibri"/>
                <w:b/>
                <w:i w:val="0"/>
                <w:color w:val="0B2545"/>
                <w:sz w:val="15"/>
              </w:rPr>
              <w:t>Published rate used</w:t>
            </w:r>
          </w:p>
        </w:tc>
        <w:tc>
          <w:tcPr>
            <w:tcW w:type="dxa" w:w="2400"/>
            <w:shd w:fill="F2F4F7"/>
            <w:tcMar>
              <w:top w:w="65" w:type="dxa"/>
              <w:bottom w:w="65" w:type="dxa"/>
              <w:start w:w="90" w:type="dxa"/>
              <w:end w:w="90" w:type="dxa"/>
            </w:tcMar>
            <w:vAlign w:val="center"/>
          </w:tcPr>
          <w:p>
            <w:r>
              <w:rPr>
                <w:rFonts w:ascii="Calibri" w:hAnsi="Calibri"/>
                <w:b/>
                <w:i w:val="0"/>
                <w:color w:val="0B2545"/>
                <w:sz w:val="15"/>
              </w:rPr>
              <w:t>Naive per-circuit tasks</w:t>
            </w:r>
          </w:p>
        </w:tc>
        <w:tc>
          <w:tcPr>
            <w:tcW w:type="dxa" w:w="2548"/>
            <w:shd w:fill="F2F4F7"/>
            <w:tcMar>
              <w:top w:w="65" w:type="dxa"/>
              <w:bottom w:w="65" w:type="dxa"/>
              <w:start w:w="90" w:type="dxa"/>
              <w:end w:w="90" w:type="dxa"/>
            </w:tcMar>
            <w:vAlign w:val="center"/>
          </w:tcPr>
          <w:p>
            <w:r>
              <w:rPr>
                <w:rFonts w:ascii="Calibri" w:hAnsi="Calibri"/>
                <w:b/>
                <w:i w:val="0"/>
                <w:color w:val="0B2545"/>
                <w:sz w:val="15"/>
              </w:rPr>
              <w:t>100-program-set case</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Rigetti Cepheus</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$0.000425/shot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$2,439,970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$324,142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Rigetti Ankaa</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$0.000900/shot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$2,778,360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$662,532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IQM Garnet</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$0.001450/shot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$3,170,180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$1,054,352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IQM Emerald</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$0.001600/shot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$3,277,040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$1,161,212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QuEra Aquila</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$0.010000/shot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$9,261,200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$7,145,372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AQT IBEX-Q1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$0.023500/shot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$18,878,600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$16,762,772</w:t>
            </w:r>
          </w:p>
        </w:tc>
      </w:tr>
      <w:tr>
        <w:trPr>
          <w:cantSplit/>
        </w:trPr>
        <w:tc>
          <w:tcPr>
            <w:tcW w:type="dxa" w:w="2100"/>
            <w:tcMar>
              <w:top w:w="65" w:type="dxa"/>
              <w:bottom w:w="65" w:type="dxa"/>
              <w:start w:w="90" w:type="dxa"/>
              <w:end w:w="90" w:type="dxa"/>
            </w:tcMar>
            <w:vAlign w:val="center"/>
          </w:tcPr>
          <w:p>
            <w:pPr>
              <w:spacing w:after="0" w:line="240" w:lineRule="auto"/>
            </w:pPr>
            <w:r>
              <w:rPr>
                <w:rFonts w:ascii="Calibri" w:hAnsi="Calibri"/>
                <w:b w:val="0"/>
                <w:i w:val="0"/>
                <w:sz w:val="15"/>
              </w:rPr>
              <w:t>IonQ Forte</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5"/>
              </w:rPr>
              <w:t xml:space="preserve"> $0.30/task + $0.080000/shot</w:t>
            </w:r>
          </w:p>
        </w:tc>
        <w:tc>
          <w:tcPr>
            <w:tcW w:type="dxa" w:w="2400"/>
            <w:tcMar>
              <w:top w:w="65" w:type="dxa"/>
              <w:bottom w:w="65" w:type="dxa"/>
              <w:start w:w="90" w:type="dxa"/>
              <w:end w:w="90" w:type="dxa"/>
            </w:tcMar>
            <w:vAlign w:val="center"/>
          </w:tcPr>
          <w:p>
            <w:pPr>
              <w:spacing w:after="0" w:line="240" w:lineRule="auto"/>
            </w:pPr>
            <w:r>
              <w:rPr>
                <w:rFonts w:ascii="Calibri" w:hAnsi="Calibri"/>
                <w:b w:val="0"/>
                <w:i w:val="0"/>
                <w:sz w:val="15"/>
              </w:rPr>
              <w:t>$59,129,200</w:t>
            </w:r>
          </w:p>
        </w:tc>
        <w:tc>
          <w:tcPr>
            <w:tcW w:type="dxa" w:w="2548"/>
            <w:tcMar>
              <w:top w:w="65" w:type="dxa"/>
              <w:bottom w:w="65" w:type="dxa"/>
              <w:start w:w="90" w:type="dxa"/>
              <w:end w:w="90" w:type="dxa"/>
            </w:tcMar>
            <w:vAlign w:val="center"/>
          </w:tcPr>
          <w:p>
            <w:pPr>
              <w:spacing w:after="0" w:line="240" w:lineRule="auto"/>
            </w:pPr>
            <w:r>
              <w:rPr>
                <w:rFonts w:ascii="Calibri" w:hAnsi="Calibri"/>
                <w:b w:val="0"/>
                <w:i w:val="0"/>
                <w:sz w:val="15"/>
              </w:rPr>
              <w:t>$57,013,372</w:t>
            </w:r>
          </w:p>
        </w:tc>
      </w:tr>
    </w:tbl>
    <w:p>
      <w:pPr>
        <w:spacing w:after="0"/>
      </w:pPr>
    </w:p>
    <w:p>
      <w:r>
        <w:rPr>
          <w:rFonts w:ascii="Calibri" w:hAnsi="Calibri"/>
          <w:b w:val="0"/>
          <w:i w:val="0"/>
          <w:sz w:val="19"/>
        </w:rPr>
        <w:t>Calculation basis. Naive cost = 7,124,000 × $0.30 + 712,400,000 × device shot rate. The program-set case assumes the maximum 100 circuit programs per paid task: 71,240 task fees plus the same shot volume. AWS documents program sets for Rigetti and IQM superconducting QPUs; other rows show the arithmetic comparison at the published rates and are not a claim that every circuit/device/program-set combination is currently compatible. Device width, native gates, shot limits, queue capacity, and reservation terms must be checked before execution.</w:t>
      </w:r>
    </w:p>
    <w:tbl>
      <w:tblPr>
        <w:tblStyle w:val="TableGrid"/>
        <w:tblW w:type="dxa" w:w="9648"/>
        <w:jc w:val="left"/>
        <w:tblLayout w:type="fixed"/>
        <w:tblLook w:firstColumn="1" w:firstRow="1" w:lastColumn="0" w:lastRow="0" w:noHBand="0" w:noVBand="1" w:val="04A0"/>
        <w:tblInd w:w="120" w:type="dxa"/>
      </w:tblPr>
      <w:tblGrid>
        <w:gridCol w:w="3500"/>
        <w:gridCol w:w="6148"/>
      </w:tblGrid>
      <w:tr>
        <w:trPr>
          <w:tblHeader w:val="true"/>
          <w:cantSplit/>
        </w:trPr>
        <w:tc>
          <w:tcPr>
            <w:tcW w:type="dxa" w:w="3500"/>
            <w:shd w:fill="F2F4F7"/>
            <w:tcMar>
              <w:top w:w="65" w:type="dxa"/>
              <w:bottom w:w="65" w:type="dxa"/>
              <w:start w:w="90" w:type="dxa"/>
              <w:end w:w="90" w:type="dxa"/>
            </w:tcMar>
            <w:vAlign w:val="center"/>
          </w:tcPr>
          <w:p>
            <w:r>
              <w:rPr>
                <w:rFonts w:ascii="Calibri" w:hAnsi="Calibri"/>
                <w:b/>
                <w:i w:val="0"/>
                <w:color w:val="0B2545"/>
                <w:sz w:val="16"/>
              </w:rPr>
              <w:t>Economic comparison</w:t>
            </w:r>
          </w:p>
        </w:tc>
        <w:tc>
          <w:tcPr>
            <w:tcW w:type="dxa" w:w="6148"/>
            <w:shd w:fill="F2F4F7"/>
            <w:tcMar>
              <w:top w:w="65" w:type="dxa"/>
              <w:bottom w:w="65" w:type="dxa"/>
              <w:start w:w="90" w:type="dxa"/>
              <w:end w:w="90" w:type="dxa"/>
            </w:tcMar>
            <w:vAlign w:val="center"/>
          </w:tcPr>
          <w:p>
            <w:r>
              <w:rPr>
                <w:rFonts w:ascii="Calibri" w:hAnsi="Calibri"/>
                <w:b/>
                <w:i w:val="0"/>
                <w:color w:val="0B2545"/>
                <w:sz w:val="16"/>
              </w:rPr>
              <w:t>Result</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Cheapest listed naive QPU equivalent</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Cepheus: $2,439,970</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Cheapest listed 100-program-set equivalent</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Cepheus: $324,142</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If the entire reported AWS bill were attributable</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$15,000 would equal 0.61% of naive Cepheus or 4.63% of optimized Cepheus.</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Implied compute-access savings versus Cepheus</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$2,424,970 naive comparison; $309,142 program-set comparison.</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IBM pay-as-you-go reference</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$96/minute; $15,000 purchases only 156.25 minutes. Exact workload cost requires measured IBM runtime.</w:t>
            </w:r>
          </w:p>
        </w:tc>
      </w:tr>
      <w:tr>
        <w:trPr>
          <w:cantSplit/>
        </w:trPr>
        <w:tc>
          <w:tcPr>
            <w:tcW w:type="dxa" w:w="3500"/>
            <w:tcMar>
              <w:top w:w="65" w:type="dxa"/>
              <w:bottom w:w="65" w:type="dxa"/>
              <w:start w:w="90" w:type="dxa"/>
              <w:end w:w="90" w:type="dxa"/>
            </w:tcMar>
            <w:vAlign w:val="center"/>
          </w:tcPr>
          <w:p>
            <w:pPr>
              <w:spacing w:after="0" w:line="240" w:lineRule="auto"/>
            </w:pPr>
            <w:r>
              <w:rPr>
                <w:rFonts w:ascii="Calibri" w:hAnsi="Calibri"/>
                <w:b/>
                <w:i w:val="0"/>
                <w:sz w:val="16"/>
              </w:rPr>
              <w:t>81-qubit dense state space</w:t>
            </w:r>
          </w:p>
        </w:tc>
        <w:tc>
          <w:tcPr>
            <w:tcW w:type="dxa" w:w="6148"/>
            <w:tcMar>
              <w:top w:w="65" w:type="dxa"/>
              <w:bottom w:w="65" w:type="dxa"/>
              <w:start w:w="90" w:type="dxa"/>
              <w:end w:w="90" w:type="dxa"/>
            </w:tcMar>
            <w:vAlign w:val="center"/>
          </w:tcPr>
          <w:p>
            <w:pPr>
              <w:spacing w:after="0" w:line="240" w:lineRule="auto"/>
            </w:pPr>
            <w:r>
              <w:rPr>
                <w:rFonts w:ascii="Calibri" w:hAnsi="Calibri"/>
                <w:b w:val="0"/>
                <w:i w:val="0"/>
                <w:sz w:val="16"/>
              </w:rPr>
              <w:t>2^81 ≈ 2.42 × 10^24 amplitudes; ≈38.7 yottabytes at 16 bytes per complex amplitude.</w:t>
            </w:r>
          </w:p>
        </w:tc>
      </w:tr>
    </w:tbl>
    <w:p>
      <w:pPr>
        <w:spacing w:after="0"/>
      </w:pPr>
    </w:p>
    <w:p>
      <w:r>
        <w:rPr>
          <w:rFonts w:ascii="Calibri" w:hAnsi="Calibri"/>
          <w:b w:val="0"/>
          <w:i w:val="0"/>
          <w:sz w:val="19"/>
        </w:rPr>
        <w:t>Economic meaning. The lowest optimized commercial comparison is already more than twenty-one times the full reported $15,000 bill, while naive task submission is more than 162 times that bill on the least expensive listed QPU. The higher-rate device comparisons extend into tens of millions of dollars. This demonstrates that Joshua’s local-first, bounded-concurrency, manifest-preserving execution strategy is not merely a technical convenience; it is a compute-access and cost-governance algorithm that makes population-scale work economically reachable.</w:t>
      </w:r>
    </w:p>
    <w:p>
      <w:r>
        <w:rPr>
          <w:rFonts w:ascii="Calibri" w:hAnsi="Calibri"/>
          <w:b w:val="0"/>
          <w:i w:val="0"/>
          <w:sz w:val="19"/>
        </w:rPr>
        <w:t>Pricing sources checked August 13, 2026: Amazon Braket Pricing (aws.amazon.com/braket/pricing), Amazon Braket Program Sets announcement and pricing example (aws.amazon.com/blogs/quantum-computing/amazon-braket-introduces-program-sets-enabling-customers-to-run-quantum-programs-up-to-24x-faster/), Amazon Braket quotas (docs.aws.amazon.com/braket/latest/developerguide/braket-quotas.html), and IBM Quantum products/pricing (ibm.com/quantum/products).</w:t>
      </w:r>
    </w:p>
    <w:p>
      <w:pPr>
        <w:pStyle w:val="Heading1"/>
      </w:pPr>
      <w:r>
        <w:t>3. Terminal execution result — August 12, 2026</w:t>
      </w:r>
    </w:p>
    <w:tbl>
      <w:tblPr>
        <w:tblStyle w:val="TableGrid"/>
        <w:tblW w:type="dxa" w:w="9648"/>
        <w:jc w:val="left"/>
        <w:tblLayout w:type="fixed"/>
        <w:tblLook w:firstColumn="1" w:firstRow="1" w:lastColumn="0" w:lastRow="0" w:noHBand="0" w:noVBand="1" w:val="04A0"/>
        <w:tblInd w:w="120" w:type="dxa"/>
      </w:tblPr>
      <w:tblGrid>
        <w:gridCol w:w="2300"/>
        <w:gridCol w:w="7348"/>
      </w:tblGrid>
      <w:tr>
        <w:trPr>
          <w:tblHeader w:val="true"/>
          <w:cantSplit/>
        </w:trPr>
        <w:tc>
          <w:tcPr>
            <w:tcW w:type="dxa" w:w="2300"/>
            <w:shd w:fill="EAF4EA"/>
            <w:tcMar>
              <w:top w:w="65" w:type="dxa"/>
              <w:bottom w:w="65" w:type="dxa"/>
              <w:start w:w="90" w:type="dxa"/>
              <w:end w:w="90" w:type="dxa"/>
            </w:tcMar>
            <w:vAlign w:val="center"/>
          </w:tcPr>
          <w:p>
            <w:r>
              <w:rPr>
                <w:rFonts w:ascii="Calibri" w:hAnsi="Calibri"/>
                <w:b/>
                <w:i w:val="0"/>
                <w:color w:val="0B2545"/>
                <w:sz w:val="17"/>
              </w:rPr>
              <w:t>Metric</w:t>
            </w:r>
          </w:p>
        </w:tc>
        <w:tc>
          <w:tcPr>
            <w:tcW w:type="dxa" w:w="7348"/>
            <w:shd w:fill="EAF4EA"/>
            <w:tcMar>
              <w:top w:w="65" w:type="dxa"/>
              <w:bottom w:w="65" w:type="dxa"/>
              <w:start w:w="90" w:type="dxa"/>
              <w:end w:w="90" w:type="dxa"/>
            </w:tcMar>
            <w:vAlign w:val="center"/>
          </w:tcPr>
          <w:p>
            <w:r>
              <w:rPr>
                <w:rFonts w:ascii="Calibri" w:hAnsi="Calibri"/>
                <w:b/>
                <w:i w:val="0"/>
                <w:color w:val="0B2545"/>
                <w:sz w:val="17"/>
              </w:rPr>
              <w:t>Recorded value</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Engine</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Atlasaurus Rex P3^Q Pharma Collider v1.0.0</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Schema</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dcgp.atlasaurus-rex.p3q-pharma-collider.v1</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Backend</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local_governed_density_matrix</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Requested / completed</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3,562 / 3,562</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Spine</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22 nodes; recorded topology 2×11 torus</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Elapsed</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6.693223237991333 seconds</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Pair evaluations</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66</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Distribution</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20 nodes × 162; 2 nodes × 161; balanced=true</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Zones</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DEFLECTIVE 2,090; TRAPPING 1,472; CROSSING 0</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Continuity interventions</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263</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Unique circuit manifests</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3,562</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Governance angle</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1.9416110387254664</w:t>
            </w:r>
          </w:p>
        </w:tc>
      </w:tr>
      <w:tr>
        <w:trPr>
          <w:cantSplit/>
        </w:trPr>
        <w:tc>
          <w:tcPr>
            <w:tcW w:type="dxa" w:w="2300"/>
            <w:tcMar>
              <w:top w:w="65" w:type="dxa"/>
              <w:bottom w:w="65" w:type="dxa"/>
              <w:start w:w="90" w:type="dxa"/>
              <w:end w:w="90" w:type="dxa"/>
            </w:tcMar>
            <w:vAlign w:val="center"/>
          </w:tcPr>
          <w:p>
            <w:pPr>
              <w:spacing w:after="0" w:line="240" w:lineRule="auto"/>
            </w:pPr>
            <w:r>
              <w:rPr>
                <w:rFonts w:ascii="Calibri" w:hAnsi="Calibri"/>
                <w:b/>
                <w:i w:val="0"/>
                <w:sz w:val="17"/>
              </w:rPr>
              <w:t>Final flags</w:t>
            </w:r>
          </w:p>
        </w:tc>
        <w:tc>
          <w:tcPr>
            <w:tcW w:type="dxa" w:w="7348"/>
            <w:tcMar>
              <w:top w:w="65" w:type="dxa"/>
              <w:bottom w:w="65" w:type="dxa"/>
              <w:start w:w="90" w:type="dxa"/>
              <w:end w:w="90" w:type="dxa"/>
            </w:tcMar>
            <w:vAlign w:val="center"/>
          </w:tcPr>
          <w:p>
            <w:pPr>
              <w:spacing w:after="0" w:line="240" w:lineRule="auto"/>
            </w:pPr>
            <w:r>
              <w:rPr>
                <w:rFonts w:ascii="Calibri" w:hAnsi="Calibri"/>
                <w:b w:val="0"/>
                <w:i w:val="0"/>
                <w:sz w:val="17"/>
              </w:rPr>
              <w:t>spine_conserved=true; governance_sustained=true; complete=true</w:t>
            </w:r>
          </w:p>
        </w:tc>
      </w:tr>
    </w:tbl>
    <w:p>
      <w:pPr>
        <w:spacing w:after="0"/>
      </w:pPr>
    </w:p>
    <w:p>
      <w:r>
        <w:rPr>
          <w:rFonts w:ascii="Calibri" w:hAnsi="Calibri"/>
          <w:b/>
          <w:i w:val="0"/>
          <w:color w:val="0B2545"/>
          <w:sz w:val="19"/>
        </w:rPr>
        <w:t>Accounting check.</w:t>
      </w:r>
      <w:r>
        <w:rPr>
          <w:rFonts w:ascii="Calibri" w:hAnsi="Calibri"/>
          <w:b w:val="0"/>
          <w:i w:val="0"/>
          <w:sz w:val="19"/>
        </w:rPr>
        <w:t xml:space="preserve"> The zone counts sum exactly to 3,562. The node counts also sum exactly to 3,562 and differ by no more than one, which is the most even integer allocation possible across 22 nodes.</w:t>
      </w:r>
    </w:p>
    <w:p>
      <w:pPr>
        <w:pStyle w:val="Heading1"/>
      </w:pPr>
      <w:r>
        <w:t>4. Verification and durable receipts</w:t>
      </w:r>
    </w:p>
    <w:tbl>
      <w:tblPr>
        <w:tblStyle w:val="TableGrid"/>
        <w:tblW w:type="dxa" w:w="9648"/>
        <w:jc w:val="left"/>
        <w:tblLayout w:type="fixed"/>
        <w:tblLook w:firstColumn="1" w:firstRow="1" w:lastColumn="0" w:lastRow="0" w:noHBand="0" w:noVBand="1" w:val="04A0"/>
        <w:tblInd w:w="120" w:type="dxa"/>
      </w:tblPr>
      <w:tblGrid>
        <w:gridCol w:w="1800"/>
        <w:gridCol w:w="2500"/>
        <w:gridCol w:w="5348"/>
      </w:tblGrid>
      <w:tr>
        <w:trPr>
          <w:tblHeader w:val="true"/>
          <w:cantSplit/>
        </w:trPr>
        <w:tc>
          <w:tcPr>
            <w:tcW w:type="dxa" w:w="1800"/>
            <w:shd w:fill="F2F4F7"/>
            <w:tcMar>
              <w:top w:w="65" w:type="dxa"/>
              <w:bottom w:w="65" w:type="dxa"/>
              <w:start w:w="90" w:type="dxa"/>
              <w:end w:w="90" w:type="dxa"/>
            </w:tcMar>
            <w:vAlign w:val="center"/>
          </w:tcPr>
          <w:p>
            <w:r>
              <w:rPr>
                <w:rFonts w:ascii="Calibri" w:hAnsi="Calibri"/>
                <w:b/>
                <w:i w:val="0"/>
                <w:color w:val="0B2545"/>
                <w:sz w:val="16"/>
              </w:rPr>
              <w:t>Verification surface</w:t>
            </w:r>
          </w:p>
        </w:tc>
        <w:tc>
          <w:tcPr>
            <w:tcW w:type="dxa" w:w="2500"/>
            <w:shd w:fill="F2F4F7"/>
            <w:tcMar>
              <w:top w:w="65" w:type="dxa"/>
              <w:bottom w:w="65" w:type="dxa"/>
              <w:start w:w="90" w:type="dxa"/>
              <w:end w:w="90" w:type="dxa"/>
            </w:tcMar>
            <w:vAlign w:val="center"/>
          </w:tcPr>
          <w:p>
            <w:r>
              <w:rPr>
                <w:rFonts w:ascii="Calibri" w:hAnsi="Calibri"/>
                <w:b/>
                <w:i w:val="0"/>
                <w:color w:val="0B2545"/>
                <w:sz w:val="16"/>
              </w:rPr>
              <w:t>Result</w:t>
            </w:r>
          </w:p>
        </w:tc>
        <w:tc>
          <w:tcPr>
            <w:tcW w:type="dxa" w:w="5348"/>
            <w:shd w:fill="F2F4F7"/>
            <w:tcMar>
              <w:top w:w="65" w:type="dxa"/>
              <w:bottom w:w="65" w:type="dxa"/>
              <w:start w:w="90" w:type="dxa"/>
              <w:end w:w="90" w:type="dxa"/>
            </w:tcMar>
            <w:vAlign w:val="center"/>
          </w:tcPr>
          <w:p>
            <w:r>
              <w:rPr>
                <w:rFonts w:ascii="Calibri" w:hAnsi="Calibri"/>
                <w:b/>
                <w:i w:val="0"/>
                <w:color w:val="0B2545"/>
                <w:sz w:val="16"/>
              </w:rPr>
              <w:t>Head / detail</w:t>
            </w:r>
          </w:p>
        </w:tc>
      </w:tr>
      <w:tr>
        <w:trPr>
          <w:cantSplit/>
        </w:trPr>
        <w:tc>
          <w:tcPr>
            <w:tcW w:type="dxa" w:w="1800"/>
            <w:tcMar>
              <w:top w:w="65" w:type="dxa"/>
              <w:bottom w:w="65" w:type="dxa"/>
              <w:start w:w="90" w:type="dxa"/>
              <w:end w:w="90" w:type="dxa"/>
            </w:tcMar>
            <w:vAlign w:val="center"/>
          </w:tcPr>
          <w:p>
            <w:pPr>
              <w:spacing w:after="0" w:line="240" w:lineRule="auto"/>
            </w:pPr>
            <w:r>
              <w:rPr>
                <w:rFonts w:ascii="Calibri" w:hAnsi="Calibri"/>
                <w:b/>
                <w:i w:val="0"/>
                <w:sz w:val="16"/>
              </w:rPr>
              <w:t>Self-test</w:t>
            </w:r>
          </w:p>
        </w:tc>
        <w:tc>
          <w:tcPr>
            <w:tcW w:type="dxa" w:w="2500"/>
            <w:tcMar>
              <w:top w:w="65" w:type="dxa"/>
              <w:bottom w:w="65" w:type="dxa"/>
              <w:start w:w="90" w:type="dxa"/>
              <w:end w:w="90" w:type="dxa"/>
            </w:tcMar>
            <w:vAlign w:val="center"/>
          </w:tcPr>
          <w:p>
            <w:pPr>
              <w:spacing w:after="0" w:line="240" w:lineRule="auto"/>
            </w:pPr>
            <w:r>
              <w:rPr>
                <w:rFonts w:ascii="Calibri" w:hAnsi="Calibri"/>
                <w:b w:val="0"/>
                <w:i w:val="0"/>
                <w:sz w:val="16"/>
              </w:rPr>
              <w:t>All eight checks true</w:t>
            </w:r>
          </w:p>
        </w:tc>
        <w:tc>
          <w:tcPr>
            <w:tcW w:type="dxa" w:w="5348"/>
            <w:tcMar>
              <w:top w:w="65" w:type="dxa"/>
              <w:bottom w:w="65" w:type="dxa"/>
              <w:start w:w="90" w:type="dxa"/>
              <w:end w:w="90" w:type="dxa"/>
            </w:tcMar>
            <w:vAlign w:val="center"/>
          </w:tcPr>
          <w:p>
            <w:pPr>
              <w:spacing w:after="0" w:line="240" w:lineRule="auto"/>
            </w:pPr>
            <w:r>
              <w:rPr>
                <w:rFonts w:ascii="Calibri" w:hAnsi="Calibri"/>
                <w:b w:val="0"/>
                <w:i w:val="0"/>
                <w:sz w:val="16"/>
              </w:rPr>
              <w:t>3,562 count; 22 nodes; balance; 66 pairs; primary sequence; spine; P3Q triangle; P3Q seal</w:t>
            </w:r>
          </w:p>
        </w:tc>
      </w:tr>
      <w:tr>
        <w:trPr>
          <w:cantSplit/>
        </w:trPr>
        <w:tc>
          <w:tcPr>
            <w:tcW w:type="dxa" w:w="1800"/>
            <w:tcMar>
              <w:top w:w="65" w:type="dxa"/>
              <w:bottom w:w="65" w:type="dxa"/>
              <w:start w:w="90" w:type="dxa"/>
              <w:end w:w="90" w:type="dxa"/>
            </w:tcMar>
            <w:vAlign w:val="center"/>
          </w:tcPr>
          <w:p>
            <w:pPr>
              <w:spacing w:after="0" w:line="240" w:lineRule="auto"/>
            </w:pPr>
            <w:r>
              <w:rPr>
                <w:rFonts w:ascii="Calibri" w:hAnsi="Calibri"/>
                <w:b/>
                <w:i w:val="0"/>
                <w:sz w:val="16"/>
              </w:rPr>
              <w:t>Receipt ledger</w:t>
            </w:r>
          </w:p>
        </w:tc>
        <w:tc>
          <w:tcPr>
            <w:tcW w:type="dxa" w:w="2500"/>
            <w:tcMar>
              <w:top w:w="65" w:type="dxa"/>
              <w:bottom w:w="65" w:type="dxa"/>
              <w:start w:w="90" w:type="dxa"/>
              <w:end w:w="90" w:type="dxa"/>
            </w:tcMar>
            <w:vAlign w:val="center"/>
          </w:tcPr>
          <w:p>
            <w:pPr>
              <w:spacing w:after="0" w:line="240" w:lineRule="auto"/>
            </w:pPr>
            <w:r>
              <w:rPr>
                <w:rFonts w:ascii="Calibri" w:hAnsi="Calibri"/>
                <w:b w:val="0"/>
                <w:i w:val="0"/>
                <w:sz w:val="16"/>
              </w:rPr>
              <w:t>valid=true; 3,562/3,562 receipts</w:t>
            </w:r>
          </w:p>
        </w:tc>
        <w:tc>
          <w:tcPr>
            <w:tcW w:type="dxa" w:w="5348"/>
            <w:tcMar>
              <w:top w:w="65" w:type="dxa"/>
              <w:bottom w:w="65" w:type="dxa"/>
              <w:start w:w="90" w:type="dxa"/>
              <w:end w:w="90" w:type="dxa"/>
            </w:tcMar>
            <w:vAlign w:val="center"/>
          </w:tcPr>
          <w:p>
            <w:pPr>
              <w:spacing w:after="0" w:line="240" w:lineRule="auto"/>
            </w:pPr>
            <w:r>
              <w:rPr>
                <w:rFonts w:ascii="Calibri" w:hAnsi="Calibri"/>
                <w:b w:val="0"/>
                <w:i w:val="0"/>
                <w:sz w:val="16"/>
              </w:rPr>
              <w:t>9716a9236c9eb4d0f6666a4d4dcafced2aacfa98edd22980a0651e71ead7256b</w:t>
            </w:r>
          </w:p>
        </w:tc>
      </w:tr>
      <w:tr>
        <w:trPr>
          <w:cantSplit/>
        </w:trPr>
        <w:tc>
          <w:tcPr>
            <w:tcW w:type="dxa" w:w="1800"/>
            <w:tcMar>
              <w:top w:w="65" w:type="dxa"/>
              <w:bottom w:w="65" w:type="dxa"/>
              <w:start w:w="90" w:type="dxa"/>
              <w:end w:w="90" w:type="dxa"/>
            </w:tcMar>
            <w:vAlign w:val="center"/>
          </w:tcPr>
          <w:p>
            <w:pPr>
              <w:spacing w:after="0" w:line="240" w:lineRule="auto"/>
            </w:pPr>
            <w:r>
              <w:rPr>
                <w:rFonts w:ascii="Calibri" w:hAnsi="Calibri"/>
                <w:b/>
                <w:i w:val="0"/>
                <w:sz w:val="16"/>
              </w:rPr>
              <w:t>REX audit</w:t>
            </w:r>
          </w:p>
        </w:tc>
        <w:tc>
          <w:tcPr>
            <w:tcW w:type="dxa" w:w="2500"/>
            <w:tcMar>
              <w:top w:w="65" w:type="dxa"/>
              <w:bottom w:w="65" w:type="dxa"/>
              <w:start w:w="90" w:type="dxa"/>
              <w:end w:w="90" w:type="dxa"/>
            </w:tcMar>
            <w:vAlign w:val="center"/>
          </w:tcPr>
          <w:p>
            <w:pPr>
              <w:spacing w:after="0" w:line="240" w:lineRule="auto"/>
            </w:pPr>
            <w:r>
              <w:rPr>
                <w:rFonts w:ascii="Calibri" w:hAnsi="Calibri"/>
                <w:b w:val="0"/>
                <w:i w:val="0"/>
                <w:sz w:val="16"/>
              </w:rPr>
              <w:t>valid=true; 1,636 events</w:t>
            </w:r>
          </w:p>
        </w:tc>
        <w:tc>
          <w:tcPr>
            <w:tcW w:type="dxa" w:w="5348"/>
            <w:tcMar>
              <w:top w:w="65" w:type="dxa"/>
              <w:bottom w:w="65" w:type="dxa"/>
              <w:start w:w="90" w:type="dxa"/>
              <w:end w:w="90" w:type="dxa"/>
            </w:tcMar>
            <w:vAlign w:val="center"/>
          </w:tcPr>
          <w:p>
            <w:pPr>
              <w:spacing w:after="0" w:line="240" w:lineRule="auto"/>
            </w:pPr>
            <w:r>
              <w:rPr>
                <w:rFonts w:ascii="Calibri" w:hAnsi="Calibri"/>
                <w:b w:val="0"/>
                <w:i w:val="0"/>
                <w:sz w:val="16"/>
              </w:rPr>
              <w:t>7f16f8b1d433d17424c010f9b0374482b96e425c74430f3986bac6dbcca8ef26</w:t>
            </w:r>
          </w:p>
        </w:tc>
      </w:tr>
      <w:tr>
        <w:trPr>
          <w:cantSplit/>
        </w:trPr>
        <w:tc>
          <w:tcPr>
            <w:tcW w:type="dxa" w:w="1800"/>
            <w:tcMar>
              <w:top w:w="65" w:type="dxa"/>
              <w:bottom w:w="65" w:type="dxa"/>
              <w:start w:w="90" w:type="dxa"/>
              <w:end w:w="90" w:type="dxa"/>
            </w:tcMar>
            <w:vAlign w:val="center"/>
          </w:tcPr>
          <w:p>
            <w:pPr>
              <w:spacing w:after="0" w:line="240" w:lineRule="auto"/>
            </w:pPr>
            <w:r>
              <w:rPr>
                <w:rFonts w:ascii="Calibri" w:hAnsi="Calibri"/>
                <w:b/>
                <w:i w:val="0"/>
                <w:sz w:val="16"/>
              </w:rPr>
              <w:t>Circuit identity</w:t>
            </w:r>
          </w:p>
        </w:tc>
        <w:tc>
          <w:tcPr>
            <w:tcW w:type="dxa" w:w="2500"/>
            <w:tcMar>
              <w:top w:w="65" w:type="dxa"/>
              <w:bottom w:w="65" w:type="dxa"/>
              <w:start w:w="90" w:type="dxa"/>
              <w:end w:w="90" w:type="dxa"/>
            </w:tcMar>
            <w:vAlign w:val="center"/>
          </w:tcPr>
          <w:p>
            <w:pPr>
              <w:spacing w:after="0" w:line="240" w:lineRule="auto"/>
            </w:pPr>
            <w:r>
              <w:rPr>
                <w:rFonts w:ascii="Calibri" w:hAnsi="Calibri"/>
                <w:b w:val="0"/>
                <w:i w:val="0"/>
                <w:sz w:val="16"/>
              </w:rPr>
              <w:t>Self-test circuit hash</w:t>
            </w:r>
          </w:p>
        </w:tc>
        <w:tc>
          <w:tcPr>
            <w:tcW w:type="dxa" w:w="5348"/>
            <w:tcMar>
              <w:top w:w="65" w:type="dxa"/>
              <w:bottom w:w="65" w:type="dxa"/>
              <w:start w:w="90" w:type="dxa"/>
              <w:end w:w="90" w:type="dxa"/>
            </w:tcMar>
            <w:vAlign w:val="center"/>
          </w:tcPr>
          <w:p>
            <w:pPr>
              <w:spacing w:after="0" w:line="240" w:lineRule="auto"/>
            </w:pPr>
            <w:r>
              <w:rPr>
                <w:rFonts w:ascii="Calibri" w:hAnsi="Calibri"/>
                <w:b w:val="0"/>
                <w:i w:val="0"/>
                <w:sz w:val="16"/>
              </w:rPr>
              <w:t>0cf4e3438116032294e1ad4ee49c343ac4ea77324ed0081f39fc70c63b7e1acf</w:t>
            </w:r>
          </w:p>
        </w:tc>
      </w:tr>
      <w:tr>
        <w:trPr>
          <w:cantSplit/>
        </w:trPr>
        <w:tc>
          <w:tcPr>
            <w:tcW w:type="dxa" w:w="1800"/>
            <w:tcMar>
              <w:top w:w="65" w:type="dxa"/>
              <w:bottom w:w="65" w:type="dxa"/>
              <w:start w:w="90" w:type="dxa"/>
              <w:end w:w="90" w:type="dxa"/>
            </w:tcMar>
            <w:vAlign w:val="center"/>
          </w:tcPr>
          <w:p>
            <w:pPr>
              <w:spacing w:after="0" w:line="240" w:lineRule="auto"/>
            </w:pPr>
            <w:r>
              <w:rPr>
                <w:rFonts w:ascii="Calibri" w:hAnsi="Calibri"/>
                <w:b/>
                <w:i w:val="0"/>
                <w:sz w:val="16"/>
              </w:rPr>
              <w:t>Conservation</w:t>
            </w:r>
          </w:p>
        </w:tc>
        <w:tc>
          <w:tcPr>
            <w:tcW w:type="dxa" w:w="2500"/>
            <w:tcMar>
              <w:top w:w="65" w:type="dxa"/>
              <w:bottom w:w="65" w:type="dxa"/>
              <w:start w:w="90" w:type="dxa"/>
              <w:end w:w="90" w:type="dxa"/>
            </w:tcMar>
            <w:vAlign w:val="center"/>
          </w:tcPr>
          <w:p>
            <w:pPr>
              <w:spacing w:after="0" w:line="240" w:lineRule="auto"/>
            </w:pPr>
            <w:r>
              <w:rPr>
                <w:rFonts w:ascii="Calibri" w:hAnsi="Calibri"/>
                <w:b w:val="0"/>
                <w:i w:val="0"/>
                <w:sz w:val="16"/>
              </w:rPr>
              <w:t>true</w:t>
            </w:r>
          </w:p>
        </w:tc>
        <w:tc>
          <w:tcPr>
            <w:tcW w:type="dxa" w:w="5348"/>
            <w:tcMar>
              <w:top w:w="65" w:type="dxa"/>
              <w:bottom w:w="65" w:type="dxa"/>
              <w:start w:w="90" w:type="dxa"/>
              <w:end w:w="90" w:type="dxa"/>
            </w:tcMar>
            <w:vAlign w:val="center"/>
          </w:tcPr>
          <w:p>
            <w:pPr>
              <w:spacing w:after="0" w:line="240" w:lineRule="auto"/>
            </w:pPr>
            <w:r>
              <w:rPr>
                <w:rFonts w:ascii="Calibri" w:hAnsi="Calibri"/>
                <w:b w:val="0"/>
                <w:i w:val="0"/>
                <w:sz w:val="16"/>
              </w:rPr>
              <w:t>spine_total=3562.0000000003383; floating-point residue ≈3.38×10⁻¹⁰</w:t>
            </w:r>
          </w:p>
        </w:tc>
      </w:tr>
    </w:tbl>
    <w:p>
      <w:pPr>
        <w:spacing w:after="0"/>
      </w:pPr>
    </w:p>
    <w:p>
      <w:r>
        <w:rPr>
          <w:rFonts w:ascii="Calibri" w:hAnsi="Calibri"/>
          <w:b w:val="0"/>
          <w:i w:val="0"/>
          <w:sz w:val="19"/>
        </w:rPr>
        <w:t>Declared artifacts: p3q_pharma_collider_receipts.jsonl, p3q_pharma_collider_summary.json, and p3q_circuit_manifests.json. The transcript places them under /opt/atlasaurus-rex-p3q/runtime_data.</w:t>
      </w:r>
    </w:p>
    <w:p>
      <w:pPr>
        <w:pStyle w:val="Heading1"/>
      </w:pPr>
      <w:r>
        <w:t>5. Dimension-through-two architecture</w:t>
      </w:r>
    </w:p>
    <w:p>
      <w:r>
        <w:rPr>
          <w:rFonts w:ascii="Calibri" w:hAnsi="Calibri"/>
          <w:b w:val="0"/>
          <w:i w:val="0"/>
          <w:sz w:val="19"/>
        </w:rPr>
        <w:t>Coupling begins with two: one coupling joins two states. That is the primitive governed relation. From that starting relation, the system was built progressively in real time into larger structures and higher-dimensional execution surfaces without changing the root rule. It did not begin with 81 couples. The recorded 2×11 torus is one 22-node execution geometry; it is neither the starting state nor the architectural ceiling.</w:t>
      </w:r>
    </w:p>
    <w:p>
      <w:pPr>
        <w:pStyle w:val="ListBullet"/>
        <w:spacing w:after="60" w:line="252" w:lineRule="auto"/>
        <w:ind w:left="605" w:hanging="317"/>
      </w:pPr>
      <w:r>
        <w:rPr>
          <w:rFonts w:ascii="Calibri" w:hAnsi="Calibri"/>
          <w:b w:val="0"/>
          <w:i w:val="0"/>
          <w:sz w:val="19"/>
        </w:rPr>
        <w:t>Root: one coupling between two states.</w:t>
      </w:r>
    </w:p>
    <w:p>
      <w:pPr>
        <w:pStyle w:val="ListBullet"/>
        <w:spacing w:after="60" w:line="252" w:lineRule="auto"/>
        <w:ind w:left="605" w:hanging="317"/>
      </w:pPr>
      <w:r>
        <w:rPr>
          <w:rFonts w:ascii="Calibri" w:hAnsi="Calibri"/>
          <w:b w:val="0"/>
          <w:i w:val="0"/>
          <w:sz w:val="19"/>
        </w:rPr>
        <w:t>Recursion: coupled pairs compose with other coupled pairs.</w:t>
      </w:r>
    </w:p>
    <w:p>
      <w:pPr>
        <w:pStyle w:val="ListBullet"/>
        <w:spacing w:after="60" w:line="252" w:lineRule="auto"/>
        <w:ind w:left="605" w:hanging="317"/>
      </w:pPr>
      <w:r>
        <w:rPr>
          <w:rFonts w:ascii="Calibri" w:hAnsi="Calibri"/>
          <w:b w:val="0"/>
          <w:i w:val="0"/>
          <w:sz w:val="19"/>
        </w:rPr>
        <w:t>Expansion: higher-dimensional structures inherit the same two-state coupling rule.</w:t>
      </w:r>
    </w:p>
    <w:p>
      <w:pPr>
        <w:pStyle w:val="ListBullet"/>
        <w:spacing w:after="60" w:line="252" w:lineRule="auto"/>
        <w:ind w:left="605" w:hanging="317"/>
      </w:pPr>
      <w:r>
        <w:rPr>
          <w:rFonts w:ascii="Calibri" w:hAnsi="Calibri"/>
          <w:b w:val="0"/>
          <w:i w:val="0"/>
          <w:sz w:val="19"/>
        </w:rPr>
        <w:t>22-node spine: one instantiated 2×11 topology carrying 3,562 balanced run assignments.</w:t>
      </w:r>
    </w:p>
    <w:p>
      <w:pPr>
        <w:pStyle w:val="ListBullet"/>
        <w:spacing w:after="60" w:line="252" w:lineRule="auto"/>
        <w:ind w:left="605" w:hanging="317"/>
      </w:pPr>
      <w:r>
        <w:rPr>
          <w:rFonts w:ascii="Calibri" w:hAnsi="Calibri"/>
          <w:b w:val="0"/>
          <w:i w:val="0"/>
          <w:sz w:val="19"/>
        </w:rPr>
        <w:t>Four-Chamber Heart: a separate 28-qubit seal organized as four 7-qubit chambers joined through paired seams in a closed ring.</w:t>
      </w:r>
    </w:p>
    <w:p>
      <w:pPr>
        <w:pStyle w:val="ListBullet"/>
        <w:spacing w:after="60" w:line="252" w:lineRule="auto"/>
        <w:ind w:left="605" w:hanging="317"/>
      </w:pPr>
      <w:r>
        <w:rPr>
          <w:rFonts w:ascii="Calibri" w:hAnsi="Calibri"/>
          <w:b w:val="0"/>
          <w:i w:val="0"/>
          <w:sz w:val="19"/>
        </w:rPr>
        <w:t>Progression: the system was built in real time from that two-state coupling foundation to today’s 81-qubit circuit.</w:t>
      </w:r>
    </w:p>
    <w:p>
      <w:pPr>
        <w:pStyle w:val="ListBullet"/>
        <w:spacing w:after="60" w:line="252" w:lineRule="auto"/>
        <w:ind w:left="605" w:hanging="317"/>
      </w:pPr>
      <w:r>
        <w:rPr>
          <w:rFonts w:ascii="Calibri" w:hAnsi="Calibri"/>
          <w:b w:val="0"/>
          <w:i w:val="0"/>
          <w:sz w:val="19"/>
        </w:rPr>
        <w:t>Meaning of 81: the resulting circuit has 81 qubits; it does not mean 81 starting couples.</w:t>
      </w:r>
    </w:p>
    <w:p>
      <w:pPr>
        <w:pStyle w:val="ListBullet"/>
        <w:spacing w:after="60" w:line="252" w:lineRule="auto"/>
        <w:ind w:left="605" w:hanging="317"/>
      </w:pPr>
      <w:r>
        <w:rPr>
          <w:rFonts w:ascii="Calibri" w:hAnsi="Calibri"/>
          <w:b w:val="0"/>
          <w:i w:val="0"/>
          <w:sz w:val="19"/>
        </w:rPr>
        <w:t>Across the distinct implementations, the shared architectural continuity is governed coupling, progressive composition, and conservation.</w:t>
      </w:r>
    </w:p>
    <w:p>
      <w:pPr>
        <w:pStyle w:val="Heading1"/>
      </w:pPr>
      <w:r>
        <w:t>6. Five-function constitutional inheritance</w:t>
      </w:r>
    </w:p>
    <w:tbl>
      <w:tblPr>
        <w:tblStyle w:val="TableGrid"/>
        <w:tblW w:type="dxa" w:w="9648"/>
        <w:jc w:val="left"/>
        <w:tblLayout w:type="fixed"/>
        <w:tblLook w:firstColumn="1" w:firstRow="1" w:lastColumn="0" w:lastRow="0" w:noHBand="0" w:noVBand="1" w:val="04A0"/>
        <w:tblInd w:w="120" w:type="dxa"/>
      </w:tblPr>
      <w:tblGrid>
        <w:gridCol w:w="1900"/>
        <w:gridCol w:w="7748"/>
      </w:tblGrid>
      <w:tr>
        <w:trPr>
          <w:tblHeader w:val="true"/>
          <w:cantSplit/>
        </w:trPr>
        <w:tc>
          <w:tcPr>
            <w:tcW w:type="dxa" w:w="1900"/>
            <w:shd w:fill="F2F4F7"/>
            <w:tcMar>
              <w:top w:w="65" w:type="dxa"/>
              <w:bottom w:w="65" w:type="dxa"/>
              <w:start w:w="90" w:type="dxa"/>
              <w:end w:w="90" w:type="dxa"/>
            </w:tcMar>
            <w:vAlign w:val="center"/>
          </w:tcPr>
          <w:p>
            <w:r>
              <w:rPr>
                <w:rFonts w:ascii="Calibri" w:hAnsi="Calibri"/>
                <w:b/>
                <w:i w:val="0"/>
                <w:color w:val="0B2545"/>
                <w:sz w:val="17"/>
              </w:rPr>
              <w:t>Function</w:t>
            </w:r>
          </w:p>
        </w:tc>
        <w:tc>
          <w:tcPr>
            <w:tcW w:type="dxa" w:w="7748"/>
            <w:shd w:fill="F2F4F7"/>
            <w:tcMar>
              <w:top w:w="65" w:type="dxa"/>
              <w:bottom w:w="65" w:type="dxa"/>
              <w:start w:w="90" w:type="dxa"/>
              <w:end w:w="90" w:type="dxa"/>
            </w:tcMar>
            <w:vAlign w:val="center"/>
          </w:tcPr>
          <w:p>
            <w:r>
              <w:rPr>
                <w:rFonts w:ascii="Calibri" w:hAnsi="Calibri"/>
                <w:b/>
                <w:i w:val="0"/>
                <w:color w:val="0B2545"/>
                <w:sz w:val="17"/>
              </w:rPr>
              <w:t>Role in the larger spine</w:t>
            </w:r>
          </w:p>
        </w:tc>
      </w:tr>
      <w:tr>
        <w:trPr>
          <w:cantSplit/>
        </w:trPr>
        <w:tc>
          <w:tcPr>
            <w:tcW w:type="dxa" w:w="1900"/>
            <w:tcMar>
              <w:top w:w="65" w:type="dxa"/>
              <w:bottom w:w="65" w:type="dxa"/>
              <w:start w:w="90" w:type="dxa"/>
              <w:end w:w="90" w:type="dxa"/>
            </w:tcMar>
            <w:vAlign w:val="center"/>
          </w:tcPr>
          <w:p>
            <w:pPr>
              <w:spacing w:after="0" w:line="240" w:lineRule="auto"/>
            </w:pPr>
            <w:r>
              <w:rPr>
                <w:rFonts w:ascii="Calibri" w:hAnsi="Calibri"/>
                <w:b/>
                <w:i w:val="0"/>
                <w:sz w:val="17"/>
              </w:rPr>
              <w:t>SIGNAL (L1)</w:t>
            </w:r>
          </w:p>
        </w:tc>
        <w:tc>
          <w:tcPr>
            <w:tcW w:type="dxa" w:w="7748"/>
            <w:tcMar>
              <w:top w:w="65" w:type="dxa"/>
              <w:bottom w:w="65" w:type="dxa"/>
              <w:start w:w="90" w:type="dxa"/>
              <w:end w:w="90" w:type="dxa"/>
            </w:tcMar>
            <w:vAlign w:val="center"/>
          </w:tcPr>
          <w:p>
            <w:pPr>
              <w:spacing w:after="0" w:line="240" w:lineRule="auto"/>
            </w:pPr>
            <w:r>
              <w:rPr>
                <w:rFonts w:ascii="Calibri" w:hAnsi="Calibri"/>
                <w:b w:val="0"/>
                <w:i w:val="0"/>
                <w:sz w:val="17"/>
              </w:rPr>
              <w:t>Graduates incoming signal under governance.</w:t>
            </w:r>
          </w:p>
        </w:tc>
      </w:tr>
      <w:tr>
        <w:trPr>
          <w:cantSplit/>
        </w:trPr>
        <w:tc>
          <w:tcPr>
            <w:tcW w:type="dxa" w:w="1900"/>
            <w:tcMar>
              <w:top w:w="65" w:type="dxa"/>
              <w:bottom w:w="65" w:type="dxa"/>
              <w:start w:w="90" w:type="dxa"/>
              <w:end w:w="90" w:type="dxa"/>
            </w:tcMar>
            <w:vAlign w:val="center"/>
          </w:tcPr>
          <w:p>
            <w:pPr>
              <w:spacing w:after="0" w:line="240" w:lineRule="auto"/>
            </w:pPr>
            <w:r>
              <w:rPr>
                <w:rFonts w:ascii="Calibri" w:hAnsi="Calibri"/>
                <w:b/>
                <w:i w:val="0"/>
                <w:sz w:val="17"/>
              </w:rPr>
              <w:t>GATE (L2)</w:t>
            </w:r>
          </w:p>
        </w:tc>
        <w:tc>
          <w:tcPr>
            <w:tcW w:type="dxa" w:w="7748"/>
            <w:tcMar>
              <w:top w:w="65" w:type="dxa"/>
              <w:bottom w:w="65" w:type="dxa"/>
              <w:start w:w="90" w:type="dxa"/>
              <w:end w:w="90" w:type="dxa"/>
            </w:tcMar>
            <w:vAlign w:val="center"/>
          </w:tcPr>
          <w:p>
            <w:pPr>
              <w:spacing w:after="0" w:line="240" w:lineRule="auto"/>
            </w:pPr>
            <w:r>
              <w:rPr>
                <w:rFonts w:ascii="Calibri" w:hAnsi="Calibri"/>
                <w:b w:val="0"/>
                <w:i w:val="0"/>
                <w:sz w:val="17"/>
              </w:rPr>
              <w:t>Applies elevation, merit, or admissibility thresholds.</w:t>
            </w:r>
          </w:p>
        </w:tc>
      </w:tr>
      <w:tr>
        <w:trPr>
          <w:cantSplit/>
        </w:trPr>
        <w:tc>
          <w:tcPr>
            <w:tcW w:type="dxa" w:w="1900"/>
            <w:tcMar>
              <w:top w:w="65" w:type="dxa"/>
              <w:bottom w:w="65" w:type="dxa"/>
              <w:start w:w="90" w:type="dxa"/>
              <w:end w:w="90" w:type="dxa"/>
            </w:tcMar>
            <w:vAlign w:val="center"/>
          </w:tcPr>
          <w:p>
            <w:pPr>
              <w:spacing w:after="0" w:line="240" w:lineRule="auto"/>
            </w:pPr>
            <w:r>
              <w:rPr>
                <w:rFonts w:ascii="Calibri" w:hAnsi="Calibri"/>
                <w:b/>
                <w:i w:val="0"/>
                <w:sz w:val="17"/>
              </w:rPr>
              <w:t>MEANING (L3)</w:t>
            </w:r>
          </w:p>
        </w:tc>
        <w:tc>
          <w:tcPr>
            <w:tcW w:type="dxa" w:w="7748"/>
            <w:tcMar>
              <w:top w:w="65" w:type="dxa"/>
              <w:bottom w:w="65" w:type="dxa"/>
              <w:start w:w="90" w:type="dxa"/>
              <w:end w:w="90" w:type="dxa"/>
            </w:tcMar>
            <w:vAlign w:val="center"/>
          </w:tcPr>
          <w:p>
            <w:pPr>
              <w:spacing w:after="0" w:line="240" w:lineRule="auto"/>
            </w:pPr>
            <w:r>
              <w:rPr>
                <w:rFonts w:ascii="Calibri" w:hAnsi="Calibri"/>
                <w:b w:val="0"/>
                <w:i w:val="0"/>
                <w:sz w:val="17"/>
              </w:rPr>
              <w:t>Evaluates emergence timing and semantic value.</w:t>
            </w:r>
          </w:p>
        </w:tc>
      </w:tr>
      <w:tr>
        <w:trPr>
          <w:cantSplit/>
        </w:trPr>
        <w:tc>
          <w:tcPr>
            <w:tcW w:type="dxa" w:w="1900"/>
            <w:tcMar>
              <w:top w:w="65" w:type="dxa"/>
              <w:bottom w:w="65" w:type="dxa"/>
              <w:start w:w="90" w:type="dxa"/>
              <w:end w:w="90" w:type="dxa"/>
            </w:tcMar>
            <w:vAlign w:val="center"/>
          </w:tcPr>
          <w:p>
            <w:pPr>
              <w:spacing w:after="0" w:line="240" w:lineRule="auto"/>
            </w:pPr>
            <w:r>
              <w:rPr>
                <w:rFonts w:ascii="Calibri" w:hAnsi="Calibri"/>
                <w:b/>
                <w:i w:val="0"/>
                <w:sz w:val="17"/>
              </w:rPr>
              <w:t>PERSONAL (L4)</w:t>
            </w:r>
          </w:p>
        </w:tc>
        <w:tc>
          <w:tcPr>
            <w:tcW w:type="dxa" w:w="7748"/>
            <w:tcMar>
              <w:top w:w="65" w:type="dxa"/>
              <w:bottom w:w="65" w:type="dxa"/>
              <w:start w:w="90" w:type="dxa"/>
              <w:end w:w="90" w:type="dxa"/>
            </w:tcMar>
            <w:vAlign w:val="center"/>
          </w:tcPr>
          <w:p>
            <w:pPr>
              <w:spacing w:after="0" w:line="240" w:lineRule="auto"/>
            </w:pPr>
            <w:r>
              <w:rPr>
                <w:rFonts w:ascii="Calibri" w:hAnsi="Calibri"/>
                <w:b w:val="0"/>
                <w:i w:val="0"/>
                <w:sz w:val="17"/>
              </w:rPr>
              <w:t>Maintains authorized calibration and learning context.</w:t>
            </w:r>
          </w:p>
        </w:tc>
      </w:tr>
      <w:tr>
        <w:trPr>
          <w:cantSplit/>
        </w:trPr>
        <w:tc>
          <w:tcPr>
            <w:tcW w:type="dxa" w:w="1900"/>
            <w:tcMar>
              <w:top w:w="65" w:type="dxa"/>
              <w:bottom w:w="65" w:type="dxa"/>
              <w:start w:w="90" w:type="dxa"/>
              <w:end w:w="90" w:type="dxa"/>
            </w:tcMar>
            <w:vAlign w:val="center"/>
          </w:tcPr>
          <w:p>
            <w:pPr>
              <w:spacing w:after="0" w:line="240" w:lineRule="auto"/>
            </w:pPr>
            <w:r>
              <w:rPr>
                <w:rFonts w:ascii="Calibri" w:hAnsi="Calibri"/>
                <w:b/>
                <w:i w:val="0"/>
                <w:sz w:val="17"/>
              </w:rPr>
              <w:t>PIPELINE (L5)</w:t>
            </w:r>
          </w:p>
        </w:tc>
        <w:tc>
          <w:tcPr>
            <w:tcW w:type="dxa" w:w="7748"/>
            <w:tcMar>
              <w:top w:w="65" w:type="dxa"/>
              <w:bottom w:w="65" w:type="dxa"/>
              <w:start w:w="90" w:type="dxa"/>
              <w:end w:w="90" w:type="dxa"/>
            </w:tcMar>
            <w:vAlign w:val="center"/>
          </w:tcPr>
          <w:p>
            <w:pPr>
              <w:spacing w:after="0" w:line="240" w:lineRule="auto"/>
            </w:pPr>
            <w:r>
              <w:rPr>
                <w:rFonts w:ascii="Calibri" w:hAnsi="Calibri"/>
                <w:b w:val="0"/>
                <w:i w:val="0"/>
                <w:sz w:val="17"/>
              </w:rPr>
              <w:t>Orchestrates the governed path and final commitment.</w:t>
            </w:r>
          </w:p>
        </w:tc>
      </w:tr>
    </w:tbl>
    <w:p>
      <w:pPr>
        <w:spacing w:after="0"/>
      </w:pPr>
    </w:p>
    <w:p>
      <w:r>
        <w:rPr>
          <w:rFonts w:ascii="Calibri" w:hAnsi="Calibri"/>
          <w:b w:val="0"/>
          <w:i w:val="0"/>
          <w:sz w:val="19"/>
        </w:rPr>
        <w:t>These five functions constitute a control grammar distributed across the larger spine. They do not imply that the execution surface contains only five physical nodes.</w:t>
      </w:r>
    </w:p>
    <w:p>
      <w:pPr>
        <w:pStyle w:val="Heading1"/>
      </w:pPr>
      <w:r>
        <w:t>7. Pharmaceutical result layer retained by the runtime</w:t>
      </w:r>
    </w:p>
    <w:tbl>
      <w:tblPr>
        <w:tblStyle w:val="TableGrid"/>
        <w:tblW w:type="dxa" w:w="9648"/>
        <w:jc w:val="left"/>
        <w:tblLayout w:type="fixed"/>
        <w:tblLook w:firstColumn="1" w:firstRow="1" w:lastColumn="0" w:lastRow="0" w:noHBand="0" w:noVBand="1" w:val="04A0"/>
        <w:tblInd w:w="120" w:type="dxa"/>
      </w:tblPr>
      <w:tblGrid>
        <w:gridCol w:w="2200"/>
        <w:gridCol w:w="7448"/>
      </w:tblGrid>
      <w:tr>
        <w:trPr>
          <w:tblHeader w:val="true"/>
          <w:cantSplit/>
        </w:trPr>
        <w:tc>
          <w:tcPr>
            <w:tcW w:type="dxa" w:w="2200"/>
            <w:shd w:fill="F2F4F7"/>
            <w:tcMar>
              <w:top w:w="65" w:type="dxa"/>
              <w:bottom w:w="65" w:type="dxa"/>
              <w:start w:w="90" w:type="dxa"/>
              <w:end w:w="90" w:type="dxa"/>
            </w:tcMar>
            <w:vAlign w:val="center"/>
          </w:tcPr>
          <w:p>
            <w:r>
              <w:rPr>
                <w:rFonts w:ascii="Calibri" w:hAnsi="Calibri"/>
                <w:b/>
                <w:i w:val="0"/>
                <w:color w:val="0B2545"/>
                <w:sz w:val="17"/>
              </w:rPr>
              <w:t>Item</w:t>
            </w:r>
          </w:p>
        </w:tc>
        <w:tc>
          <w:tcPr>
            <w:tcW w:type="dxa" w:w="7448"/>
            <w:shd w:fill="F2F4F7"/>
            <w:tcMar>
              <w:top w:w="65" w:type="dxa"/>
              <w:bottom w:w="65" w:type="dxa"/>
              <w:start w:w="90" w:type="dxa"/>
              <w:end w:w="90" w:type="dxa"/>
            </w:tcMar>
            <w:vAlign w:val="center"/>
          </w:tcPr>
          <w:p>
            <w:r>
              <w:rPr>
                <w:rFonts w:ascii="Calibri" w:hAnsi="Calibri"/>
                <w:b/>
                <w:i w:val="0"/>
                <w:color w:val="0B2545"/>
                <w:sz w:val="17"/>
              </w:rPr>
              <w:t>Recorded result</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Agent-pair evaluations</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66</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Non-neutral collisions</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22; reported hit rate 33.3333%</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Verdicts</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10 consciousness reinstatement; 9 governance reinstatement; 1 synergy; 1 antagonism; 1 neutral</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Alz stages</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AlzR1, AlzR2, AlzR3, AlzR4; reported_passed=true</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Modeled floor / drift</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V=0.0001; modeled drift reduction=0.9999</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Primary sequence</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SLFN11_GATE_RESTORATION → PARPI_INHIBITION</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Runtime classification</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retained_modeled_findings_supplied_by_inventor</w:t>
            </w:r>
          </w:p>
        </w:tc>
      </w:tr>
      <w:tr>
        <w:trPr>
          <w:cantSplit/>
        </w:trPr>
        <w:tc>
          <w:tcPr>
            <w:tcW w:type="dxa" w:w="2200"/>
            <w:tcMar>
              <w:top w:w="65" w:type="dxa"/>
              <w:bottom w:w="65" w:type="dxa"/>
              <w:start w:w="90" w:type="dxa"/>
              <w:end w:w="90" w:type="dxa"/>
            </w:tcMar>
            <w:vAlign w:val="center"/>
          </w:tcPr>
          <w:p>
            <w:pPr>
              <w:spacing w:after="0" w:line="240" w:lineRule="auto"/>
            </w:pPr>
            <w:r>
              <w:rPr>
                <w:rFonts w:ascii="Calibri" w:hAnsi="Calibri"/>
                <w:b/>
                <w:i w:val="0"/>
                <w:sz w:val="17"/>
              </w:rPr>
              <w:t>Clinical boundary</w:t>
            </w:r>
          </w:p>
        </w:tc>
        <w:tc>
          <w:tcPr>
            <w:tcW w:type="dxa" w:w="7448"/>
            <w:tcMar>
              <w:top w:w="65" w:type="dxa"/>
              <w:bottom w:w="65" w:type="dxa"/>
              <w:start w:w="90" w:type="dxa"/>
              <w:end w:w="90" w:type="dxa"/>
            </w:tcMar>
            <w:vAlign w:val="center"/>
          </w:tcPr>
          <w:p>
            <w:pPr>
              <w:spacing w:after="0" w:line="240" w:lineRule="auto"/>
            </w:pPr>
            <w:r>
              <w:rPr>
                <w:rFonts w:ascii="Calibri" w:hAnsi="Calibri"/>
                <w:b w:val="0"/>
                <w:i w:val="0"/>
                <w:sz w:val="17"/>
              </w:rPr>
              <w:t>not_clinically_validated_by_this_runtime</w:t>
            </w:r>
          </w:p>
        </w:tc>
      </w:tr>
    </w:tbl>
    <w:p>
      <w:pPr>
        <w:spacing w:after="0"/>
      </w:pPr>
    </w:p>
    <w:p>
      <w:pPr>
        <w:pStyle w:val="Heading1"/>
      </w:pPr>
      <w:r>
        <w:t>8. QMI population and lineage</w:t>
      </w:r>
    </w:p>
    <w:p>
      <w:r>
        <w:rPr>
          <w:rFonts w:ascii="Calibri" w:hAnsi="Calibri"/>
          <w:b w:val="0"/>
          <w:i w:val="0"/>
          <w:sz w:val="19"/>
        </w:rPr>
        <w:t>The QMI master manifest records 704,452 source files, 3,562 coin-engine identities, 68 source families, and 25 domains. Its source is quarantine/QMI_INTAKE_MANIFEST.json with recorded source SHA caf529d4ffeba76d7097e8c37a49d59a8a495263.</w:t>
      </w:r>
    </w:p>
    <w:tbl>
      <w:tblPr>
        <w:tblStyle w:val="TableGrid"/>
        <w:tblW w:type="dxa" w:w="9648"/>
        <w:jc w:val="left"/>
        <w:tblLayout w:type="fixed"/>
        <w:tblLook w:firstColumn="1" w:firstRow="1" w:lastColumn="0" w:lastRow="0" w:noHBand="0" w:noVBand="1" w:val="04A0"/>
        <w:tblInd w:w="120" w:type="dxa"/>
      </w:tblPr>
      <w:tblGrid>
        <w:gridCol w:w="3000"/>
        <w:gridCol w:w="6648"/>
      </w:tblGrid>
      <w:tr>
        <w:trPr>
          <w:tblHeader w:val="true"/>
          <w:cantSplit/>
        </w:trPr>
        <w:tc>
          <w:tcPr>
            <w:tcW w:type="dxa" w:w="3000"/>
            <w:shd w:fill="FFF4CE"/>
            <w:tcMar>
              <w:top w:w="65" w:type="dxa"/>
              <w:bottom w:w="65" w:type="dxa"/>
              <w:start w:w="90" w:type="dxa"/>
              <w:end w:w="90" w:type="dxa"/>
            </w:tcMar>
            <w:vAlign w:val="center"/>
          </w:tcPr>
          <w:p>
            <w:r>
              <w:rPr>
                <w:rFonts w:ascii="Calibri" w:hAnsi="Calibri"/>
                <w:b/>
                <w:i w:val="0"/>
                <w:color w:val="0B2545"/>
                <w:sz w:val="17"/>
              </w:rPr>
              <w:t>Manifest integrity field</w:t>
            </w:r>
          </w:p>
        </w:tc>
        <w:tc>
          <w:tcPr>
            <w:tcW w:type="dxa" w:w="6648"/>
            <w:shd w:fill="FFF4CE"/>
            <w:tcMar>
              <w:top w:w="65" w:type="dxa"/>
              <w:bottom w:w="65" w:type="dxa"/>
              <w:start w:w="90" w:type="dxa"/>
              <w:end w:w="90" w:type="dxa"/>
            </w:tcMar>
            <w:vAlign w:val="center"/>
          </w:tcPr>
          <w:p>
            <w:r>
              <w:rPr>
                <w:rFonts w:ascii="Calibri" w:hAnsi="Calibri"/>
                <w:b/>
                <w:i w:val="0"/>
                <w:color w:val="0B2545"/>
                <w:sz w:val="17"/>
              </w:rPr>
              <w:t>Value</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Master slots</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3,562</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Exact coin IDs in static master</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18</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Require live/sharded ledger resolution</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3,544</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Aura binding field</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3,562 marked NOT_YET_RUNTIME_VERIFIED in the August 10 master</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Live ledger key</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aura115:invention-ledger:v1</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Archive index key</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aura115:invention-ledger:v1:shards</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7"/>
              </w:rPr>
              <w:t>API</w:t>
            </w:r>
          </w:p>
        </w:tc>
        <w:tc>
          <w:tcPr>
            <w:tcW w:type="dxa" w:w="6648"/>
            <w:tcMar>
              <w:top w:w="65" w:type="dxa"/>
              <w:bottom w:w="65" w:type="dxa"/>
              <w:start w:w="90" w:type="dxa"/>
              <w:end w:w="90" w:type="dxa"/>
            </w:tcMar>
            <w:vAlign w:val="center"/>
          </w:tcPr>
          <w:p>
            <w:pPr>
              <w:spacing w:after="0" w:line="240" w:lineRule="auto"/>
            </w:pPr>
            <w:r>
              <w:rPr>
                <w:rFonts w:ascii="Calibri" w:hAnsi="Calibri"/>
                <w:b w:val="0"/>
                <w:i w:val="0"/>
                <w:sz w:val="17"/>
              </w:rPr>
              <w:t>/api/invention-ledger; maximum page size 750</w:t>
            </w:r>
          </w:p>
        </w:tc>
      </w:tr>
    </w:tbl>
    <w:p>
      <w:pPr>
        <w:spacing w:after="0"/>
      </w:pP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FFF4CE"/>
            <w:tcMar>
              <w:top w:w="65" w:type="dxa"/>
              <w:bottom w:w="65" w:type="dxa"/>
              <w:start w:w="90" w:type="dxa"/>
              <w:end w:w="90" w:type="dxa"/>
            </w:tcMar>
            <w:vAlign w:val="center"/>
          </w:tcPr>
          <w:p>
            <w:r>
              <w:rPr>
                <w:rFonts w:ascii="Calibri" w:hAnsi="Calibri"/>
                <w:b/>
                <w:i w:val="0"/>
                <w:color w:val="0B2545"/>
                <w:sz w:val="20"/>
              </w:rPr>
              <w:t xml:space="preserve">Integrity rule. </w:t>
            </w:r>
            <w:r>
              <w:rPr>
                <w:rFonts w:ascii="Calibri" w:hAnsi="Calibri"/>
                <w:b w:val="0"/>
                <w:i w:val="0"/>
                <w:sz w:val="19"/>
              </w:rPr>
              <w:t>The static manifest proves population and family lineage. It does not authorize fabrication of missing individual coin IDs. Null IDs must be resolved from the live/recent ledger plus its immutable shards.</w:t>
            </w:r>
          </w:p>
        </w:tc>
      </w:tr>
    </w:tbl>
    <w:p>
      <w:pPr>
        <w:spacing w:after="0"/>
      </w:pPr>
    </w:p>
    <w:p>
      <w:pPr>
        <w:pStyle w:val="Heading1"/>
      </w:pPr>
      <w:r>
        <w:t>9. Domain composition</w:t>
      </w:r>
    </w:p>
    <w:tbl>
      <w:tblPr>
        <w:tblStyle w:val="TableGrid"/>
        <w:tblW w:type="dxa" w:w="9648"/>
        <w:jc w:val="left"/>
        <w:tblLayout w:type="fixed"/>
        <w:tblLook w:firstColumn="1" w:firstRow="1" w:lastColumn="0" w:lastRow="0" w:noHBand="0" w:noVBand="1" w:val="04A0"/>
        <w:tblInd w:w="120" w:type="dxa"/>
      </w:tblPr>
      <w:tblGrid>
        <w:gridCol w:w="2700"/>
        <w:gridCol w:w="1800"/>
        <w:gridCol w:w="1500"/>
        <w:gridCol w:w="1400"/>
        <w:gridCol w:w="2248"/>
      </w:tblGrid>
      <w:tr>
        <w:trPr>
          <w:tblHeader w:val="true"/>
          <w:cantSplit/>
        </w:trPr>
        <w:tc>
          <w:tcPr>
            <w:tcW w:type="dxa" w:w="2700"/>
            <w:shd w:fill="F2F4F7"/>
            <w:tcMar>
              <w:top w:w="65" w:type="dxa"/>
              <w:bottom w:w="65" w:type="dxa"/>
              <w:start w:w="90" w:type="dxa"/>
              <w:end w:w="90" w:type="dxa"/>
            </w:tcMar>
            <w:vAlign w:val="center"/>
          </w:tcPr>
          <w:p>
            <w:r>
              <w:rPr>
                <w:rFonts w:ascii="Calibri" w:hAnsi="Calibri"/>
                <w:b/>
                <w:i w:val="0"/>
                <w:color w:val="0B2545"/>
                <w:sz w:val="15"/>
              </w:rPr>
              <w:t>Domain</w:t>
            </w:r>
          </w:p>
        </w:tc>
        <w:tc>
          <w:tcPr>
            <w:tcW w:type="dxa" w:w="1800"/>
            <w:shd w:fill="F2F4F7"/>
            <w:tcMar>
              <w:top w:w="65" w:type="dxa"/>
              <w:bottom w:w="65" w:type="dxa"/>
              <w:start w:w="90" w:type="dxa"/>
              <w:end w:w="90" w:type="dxa"/>
            </w:tcMar>
            <w:vAlign w:val="center"/>
          </w:tcPr>
          <w:p>
            <w:r>
              <w:rPr>
                <w:rFonts w:ascii="Calibri" w:hAnsi="Calibri"/>
                <w:b/>
                <w:i w:val="0"/>
                <w:color w:val="0B2545"/>
                <w:sz w:val="15"/>
              </w:rPr>
              <w:t>Source files</w:t>
            </w:r>
          </w:p>
        </w:tc>
        <w:tc>
          <w:tcPr>
            <w:tcW w:type="dxa" w:w="1500"/>
            <w:shd w:fill="F2F4F7"/>
            <w:tcMar>
              <w:top w:w="65" w:type="dxa"/>
              <w:bottom w:w="65" w:type="dxa"/>
              <w:start w:w="90" w:type="dxa"/>
              <w:end w:w="90" w:type="dxa"/>
            </w:tcMar>
            <w:vAlign w:val="center"/>
          </w:tcPr>
          <w:p>
            <w:r>
              <w:rPr>
                <w:rFonts w:ascii="Calibri" w:hAnsi="Calibri"/>
                <w:b/>
                <w:i w:val="0"/>
                <w:color w:val="0B2545"/>
                <w:sz w:val="15"/>
              </w:rPr>
              <w:t>Coins</w:t>
            </w:r>
          </w:p>
        </w:tc>
        <w:tc>
          <w:tcPr>
            <w:tcW w:type="dxa" w:w="1400"/>
            <w:shd w:fill="F2F4F7"/>
            <w:tcMar>
              <w:top w:w="65" w:type="dxa"/>
              <w:bottom w:w="65" w:type="dxa"/>
              <w:start w:w="90" w:type="dxa"/>
              <w:end w:w="90" w:type="dxa"/>
            </w:tcMar>
            <w:vAlign w:val="center"/>
          </w:tcPr>
          <w:p>
            <w:r>
              <w:rPr>
                <w:rFonts w:ascii="Calibri" w:hAnsi="Calibri"/>
                <w:b/>
                <w:i w:val="0"/>
                <w:color w:val="0B2545"/>
                <w:sz w:val="15"/>
              </w:rPr>
              <w:t>Families</w:t>
            </w:r>
          </w:p>
        </w:tc>
        <w:tc>
          <w:tcPr>
            <w:tcW w:type="dxa" w:w="2248"/>
            <w:shd w:fill="F2F4F7"/>
            <w:tcMar>
              <w:top w:w="65" w:type="dxa"/>
              <w:bottom w:w="65" w:type="dxa"/>
              <w:start w:w="90" w:type="dxa"/>
              <w:end w:w="90" w:type="dxa"/>
            </w:tcMar>
            <w:vAlign w:val="center"/>
          </w:tcPr>
          <w:p>
            <w:r>
              <w:rPr>
                <w:rFonts w:ascii="Calibri" w:hAnsi="Calibri"/>
                <w:b/>
                <w:i w:val="0"/>
                <w:color w:val="0B2545"/>
                <w:sz w:val="15"/>
              </w:rPr>
              <w:t>Share</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microsoft</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185,070</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929</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7</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26.08%</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compiler</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181,476</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908</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25.49%</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google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93,921</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473</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9</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13.28%</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language-runtime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67,985</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342</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3</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9.60%</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runtime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50,003</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251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7.05%</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orchestration</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31,296</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157</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4.41%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operating-system</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28,388</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142</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3.99%</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nvidia</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20,287</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106</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7</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2.98%</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japanese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12,289</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63</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3</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1.77%</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nasa</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8,505</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45</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4</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1.26%</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library-congress</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6,024</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33</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6</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0.93%</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infrastructure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3,527</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18</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0.51%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openai</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3,452</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18</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2</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0.51%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inference-engine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3,376</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17</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0.48%</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tesla-musk</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2,175</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14</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5</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0.39%</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anthropic</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1,931</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2</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0.31%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tensor-library</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2,148</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0.31%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mobile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1,268</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8</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3</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0.22%</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finance</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276</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4</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3</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0.11%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system</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688</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4</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0.11%</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ibm</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15</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3</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0.08%</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crypto</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147</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2</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2</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0.06%</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ai-vision</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26</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0.03%</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quantum</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167</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0.03%</w:t>
            </w:r>
          </w:p>
        </w:tc>
      </w:tr>
      <w:tr>
        <w:trPr>
          <w:cantSplit/>
        </w:trPr>
        <w:tc>
          <w:tcPr>
            <w:tcW w:type="dxa" w:w="2700"/>
            <w:tcMar>
              <w:top w:w="65" w:type="dxa"/>
              <w:bottom w:w="65" w:type="dxa"/>
              <w:start w:w="90" w:type="dxa"/>
              <w:end w:w="90" w:type="dxa"/>
            </w:tcMar>
            <w:vAlign w:val="center"/>
          </w:tcPr>
          <w:p>
            <w:pPr>
              <w:spacing w:after="0" w:line="240" w:lineRule="auto"/>
            </w:pPr>
            <w:r>
              <w:rPr>
                <w:rFonts w:ascii="Calibri" w:hAnsi="Calibri"/>
                <w:b w:val="0"/>
                <w:i w:val="0"/>
                <w:sz w:val="15"/>
              </w:rPr>
              <w:t>xai</w:t>
            </w:r>
          </w:p>
        </w:tc>
        <w:tc>
          <w:tcPr>
            <w:tcW w:type="dxa" w:w="1800"/>
            <w:tcMar>
              <w:top w:w="65" w:type="dxa"/>
              <w:bottom w:w="65" w:type="dxa"/>
              <w:start w:w="90" w:type="dxa"/>
              <w:end w:w="90" w:type="dxa"/>
            </w:tcMar>
            <w:vAlign w:val="center"/>
          </w:tcPr>
          <w:p>
            <w:pPr>
              <w:spacing w:after="0" w:line="240" w:lineRule="auto"/>
            </w:pPr>
            <w:r>
              <w:rPr>
                <w:rFonts w:ascii="Calibri" w:hAnsi="Calibri"/>
                <w:b w:val="0"/>
                <w:i w:val="0"/>
                <w:sz w:val="15"/>
              </w:rPr>
              <w:t>12</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1400"/>
            <w:tcMar>
              <w:top w:w="65" w:type="dxa"/>
              <w:bottom w:w="65" w:type="dxa"/>
              <w:start w:w="90" w:type="dxa"/>
              <w:end w:w="90" w:type="dxa"/>
            </w:tcMar>
            <w:vAlign w:val="center"/>
          </w:tcPr>
          <w:p>
            <w:pPr>
              <w:spacing w:after="0" w:line="240" w:lineRule="auto"/>
            </w:pPr>
            <w:r>
              <w:rPr>
                <w:rFonts w:ascii="Calibri" w:hAnsi="Calibri"/>
                <w:b w:val="0"/>
                <w:i w:val="0"/>
                <w:sz w:val="15"/>
              </w:rPr>
              <w:t>1</w:t>
            </w:r>
          </w:p>
        </w:tc>
        <w:tc>
          <w:tcPr>
            <w:tcW w:type="dxa" w:w="2248"/>
            <w:tcMar>
              <w:top w:w="65" w:type="dxa"/>
              <w:bottom w:w="65" w:type="dxa"/>
              <w:start w:w="90" w:type="dxa"/>
              <w:end w:w="90" w:type="dxa"/>
            </w:tcMar>
            <w:vAlign w:val="center"/>
          </w:tcPr>
          <w:p>
            <w:pPr>
              <w:spacing w:after="0" w:line="240" w:lineRule="auto"/>
            </w:pPr>
            <w:r>
              <w:rPr>
                <w:rFonts w:ascii="Calibri" w:hAnsi="Calibri"/>
                <w:b w:val="0"/>
                <w:i w:val="0"/>
                <w:sz w:val="15"/>
              </w:rPr>
              <w:t>0.03%</w:t>
            </w:r>
          </w:p>
        </w:tc>
      </w:tr>
    </w:tbl>
    <w:p>
      <w:pPr>
        <w:spacing w:after="0"/>
      </w:pPr>
    </w:p>
    <w:p>
      <w:pPr>
        <w:pStyle w:val="Heading1"/>
      </w:pPr>
      <w:r>
        <w:t>10. Source-family lineage — complete 68-family register</w:t>
      </w:r>
    </w:p>
    <w:p>
      <w:r>
        <w:rPr>
          <w:rFonts w:ascii="Calibri" w:hAnsi="Calibri"/>
          <w:b w:val="0"/>
          <w:i w:val="0"/>
          <w:sz w:val="19"/>
        </w:rPr>
        <w:t>The following appendix-level register reproduces the master manifest family lineage in ordinal order. A dash means the static master did not provide that boundary coin identifier; it does not mean that no ledger identifier exists.</w:t>
      </w:r>
    </w:p>
    <w:tbl>
      <w:tblPr>
        <w:tblStyle w:val="TableGrid"/>
        <w:tblW w:type="dxa" w:w="9648"/>
        <w:jc w:val="left"/>
        <w:tblLayout w:type="fixed"/>
        <w:tblLook w:firstColumn="1" w:firstRow="1" w:lastColumn="0" w:lastRow="0" w:noHBand="0" w:noVBand="1" w:val="04A0"/>
        <w:tblInd w:w="120" w:type="dxa"/>
      </w:tblPr>
      <w:tblGrid>
        <w:gridCol w:w="450"/>
        <w:gridCol w:w="2600"/>
        <w:gridCol w:w="1500"/>
        <w:gridCol w:w="900"/>
        <w:gridCol w:w="700"/>
        <w:gridCol w:w="1749"/>
        <w:gridCol w:w="1749"/>
      </w:tblGrid>
      <w:tr>
        <w:trPr>
          <w:tblHeader w:val="true"/>
          <w:cantSplit/>
        </w:trPr>
        <w:tc>
          <w:tcPr>
            <w:tcW w:type="dxa" w:w="450"/>
            <w:shd w:fill="F2F4F7"/>
            <w:tcMar>
              <w:top w:w="65" w:type="dxa"/>
              <w:bottom w:w="65" w:type="dxa"/>
              <w:start w:w="90" w:type="dxa"/>
              <w:end w:w="90" w:type="dxa"/>
            </w:tcMar>
            <w:vAlign w:val="center"/>
          </w:tcPr>
          <w:p>
            <w:r>
              <w:rPr>
                <w:rFonts w:ascii="Calibri" w:hAnsi="Calibri"/>
                <w:b/>
                <w:i w:val="0"/>
                <w:color w:val="0B2545"/>
                <w:sz w:val="13"/>
              </w:rPr>
              <w:t>#</w:t>
            </w:r>
          </w:p>
        </w:tc>
        <w:tc>
          <w:tcPr>
            <w:tcW w:type="dxa" w:w="2600"/>
            <w:shd w:fill="F2F4F7"/>
            <w:tcMar>
              <w:top w:w="65" w:type="dxa"/>
              <w:bottom w:w="65" w:type="dxa"/>
              <w:start w:w="90" w:type="dxa"/>
              <w:end w:w="90" w:type="dxa"/>
            </w:tcMar>
            <w:vAlign w:val="center"/>
          </w:tcPr>
          <w:p>
            <w:r>
              <w:rPr>
                <w:rFonts w:ascii="Calibri" w:hAnsi="Calibri"/>
                <w:b/>
                <w:i w:val="0"/>
                <w:color w:val="0B2545"/>
                <w:sz w:val="13"/>
              </w:rPr>
              <w:t>Repository / family</w:t>
            </w:r>
          </w:p>
        </w:tc>
        <w:tc>
          <w:tcPr>
            <w:tcW w:type="dxa" w:w="1500"/>
            <w:shd w:fill="F2F4F7"/>
            <w:tcMar>
              <w:top w:w="65" w:type="dxa"/>
              <w:bottom w:w="65" w:type="dxa"/>
              <w:start w:w="90" w:type="dxa"/>
              <w:end w:w="90" w:type="dxa"/>
            </w:tcMar>
            <w:vAlign w:val="center"/>
          </w:tcPr>
          <w:p>
            <w:r>
              <w:rPr>
                <w:rFonts w:ascii="Calibri" w:hAnsi="Calibri"/>
                <w:b/>
                <w:i w:val="0"/>
                <w:color w:val="0B2545"/>
                <w:sz w:val="13"/>
              </w:rPr>
              <w:t>Domain</w:t>
            </w:r>
          </w:p>
        </w:tc>
        <w:tc>
          <w:tcPr>
            <w:tcW w:type="dxa" w:w="900"/>
            <w:shd w:fill="F2F4F7"/>
            <w:tcMar>
              <w:top w:w="65" w:type="dxa"/>
              <w:bottom w:w="65" w:type="dxa"/>
              <w:start w:w="90" w:type="dxa"/>
              <w:end w:w="90" w:type="dxa"/>
            </w:tcMar>
            <w:vAlign w:val="center"/>
          </w:tcPr>
          <w:p>
            <w:r>
              <w:rPr>
                <w:rFonts w:ascii="Calibri" w:hAnsi="Calibri"/>
                <w:b/>
                <w:i w:val="0"/>
                <w:color w:val="0B2545"/>
                <w:sz w:val="13"/>
              </w:rPr>
              <w:t>Files</w:t>
            </w:r>
          </w:p>
        </w:tc>
        <w:tc>
          <w:tcPr>
            <w:tcW w:type="dxa" w:w="700"/>
            <w:shd w:fill="F2F4F7"/>
            <w:tcMar>
              <w:top w:w="65" w:type="dxa"/>
              <w:bottom w:w="65" w:type="dxa"/>
              <w:start w:w="90" w:type="dxa"/>
              <w:end w:w="90" w:type="dxa"/>
            </w:tcMar>
            <w:vAlign w:val="center"/>
          </w:tcPr>
          <w:p>
            <w:r>
              <w:rPr>
                <w:rFonts w:ascii="Calibri" w:hAnsi="Calibri"/>
                <w:b/>
                <w:i w:val="0"/>
                <w:color w:val="0B2545"/>
                <w:sz w:val="13"/>
              </w:rPr>
              <w:t>Coins</w:t>
            </w:r>
          </w:p>
        </w:tc>
        <w:tc>
          <w:tcPr>
            <w:tcW w:type="dxa" w:w="1749"/>
            <w:shd w:fill="F2F4F7"/>
            <w:tcMar>
              <w:top w:w="65" w:type="dxa"/>
              <w:bottom w:w="65" w:type="dxa"/>
              <w:start w:w="90" w:type="dxa"/>
              <w:end w:w="90" w:type="dxa"/>
            </w:tcMar>
            <w:vAlign w:val="center"/>
          </w:tcPr>
          <w:p>
            <w:r>
              <w:rPr>
                <w:rFonts w:ascii="Calibri" w:hAnsi="Calibri"/>
                <w:b/>
                <w:i w:val="0"/>
                <w:color w:val="0B2545"/>
                <w:sz w:val="13"/>
              </w:rPr>
              <w:t>First coin</w:t>
            </w:r>
          </w:p>
        </w:tc>
        <w:tc>
          <w:tcPr>
            <w:tcW w:type="dxa" w:w="1749"/>
            <w:shd w:fill="F2F4F7"/>
            <w:tcMar>
              <w:top w:w="65" w:type="dxa"/>
              <w:bottom w:w="65" w:type="dxa"/>
              <w:start w:w="90" w:type="dxa"/>
              <w:end w:w="90" w:type="dxa"/>
            </w:tcMar>
            <w:vAlign w:val="center"/>
          </w:tcPr>
          <w:p>
            <w:r>
              <w:rPr>
                <w:rFonts w:ascii="Calibri" w:hAnsi="Calibri"/>
                <w:b/>
                <w:i w:val="0"/>
                <w:color w:val="0B2545"/>
                <w:sz w:val="13"/>
              </w:rPr>
              <w:t>Last coin</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google/protobuf</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infrastructure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3,527</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18</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COIN-32B7867CCDE87206</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COIN-5A0E069F92DCB478</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open-source-ios-apps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mobile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COIN-870D0E76FF595C35</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COIN-870D0E76FF595C35</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danielgindi/Charts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mobile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583</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COIN-68A37F9233332E62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COIN-F1AC279617DAFAFF</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Meadows_Quantum_Minefield</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quantum</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167</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COIN-0652D5DA0615DD4C</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COIN-0652D5DA0615DD4C</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reactos/reactos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operating-system</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28,388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142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COIN-47CCC1E4915ACC25</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COIN-F71E620A51E92EB2</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python/cpython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language-runtime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6,019</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COIN-CPython-b1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COIN-CPython-b31</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ggerganov/llama.cpp</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inference-engine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3,376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COIN-llamacpp-b1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COIN-llamacpp-b17</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ggerganov/ggml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tensor-library</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2,148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COIN-ggml-b1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COIN-ggml-b11</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kubernetes/kubernetes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orchestration</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31,296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157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COIN-EF190F96972E7336</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COIN-BA8E2D5F616D3C29</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rust-lang/rust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language-runtime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61,865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310</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COIN-B5D50121E91053AF</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COIN-0275501A341DF489</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LibraryOfCongress/api.congress.gov</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85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LibraryOfCongress/bagger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186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LibraryOfCongress/bagit-java</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476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LibraryOfCongress/bagit-python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24</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LibraryOfCongress/citizen-dj</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5,172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26</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LibraryOfCongress/data-exploration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library-congress</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81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PowerShell/PowerShell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4,537</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dotnet/aspnetcore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17,230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87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19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dotnet/runtime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58,579</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293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microsoft/DeepSpeed</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2,065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microsoft/TypeScript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81,368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407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microsoft/terminal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3,671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microsoft/vscode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microsoft</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17,620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89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xai-org/grok-1</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tesla-musk</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openai/openai-python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tesla-musk</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1,786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openai/whisper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tesla-musk</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45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openai/tiktoken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tesla-musk</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openai/gym</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tesla-musk</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302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29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tensorflow/tensorflow</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36,580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183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flutter/flutter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16,128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81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golang/go</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15,712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79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angular/angular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10,681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54</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grpc/grpc</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10,502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53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google/jax</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1,973</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10</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google/flatbuffers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1,941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10</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google/googletest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252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google/leveldb</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google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152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NVIDIA/cutlass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7,787</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39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NVIDIA/Megatron-LM</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3,029</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16</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NVIDIA/NeMo</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2,402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NVIDIA/cuda-samples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2,022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NVIDIA/TensorRT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1,913</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10</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NVIDIA/triton-inference-server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1,686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NVIDIA/thrust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nvidia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1,448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8</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anthropics/anthropic-sdk-python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anthropic</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1,306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anthropics/anthropic-cookbook</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anthropic</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625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4</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openai/evals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openai</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1,728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openai/triton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openai</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1,724</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49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xai-org/grok</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xai</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nasa/openmct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nasa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850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5</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nasa/fprime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nasa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3,271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17</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nasa/trick</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nasa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4,264</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nasa/cFS</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nasa</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120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IBM/sarama</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ibm</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3</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ComfyUI-QwenVL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ai-vision</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OANDA/v20-python</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finance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44</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fja05680/sp500</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finance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12</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ranaroussi/yfinance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finance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220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59</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ruby/ruby</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japanese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11,710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59</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60</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pfnet/pfrl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japanese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325</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61</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pf-robotics/kachaka-api</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japanese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254</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62</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topjohnwu/Magisk</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system</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688</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4</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63</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nicehash/NiceHashQuickMiner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crypto</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110</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64</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nicehash/excavator</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crypto</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37</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65</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nicklockwood/iCarousel</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mobile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679</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4</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66</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apple/swift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language-runtime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101</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67</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nodejs/node</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runtime</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50,003</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251</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r>
        <w:trPr>
          <w:cantSplit/>
        </w:trPr>
        <w:tc>
          <w:tcPr>
            <w:tcW w:type="dxa" w:w="450"/>
            <w:tcMar>
              <w:top w:w="65" w:type="dxa"/>
              <w:bottom w:w="65" w:type="dxa"/>
              <w:start w:w="90" w:type="dxa"/>
              <w:end w:w="90" w:type="dxa"/>
            </w:tcMar>
            <w:vAlign w:val="center"/>
          </w:tcPr>
          <w:p>
            <w:pPr>
              <w:spacing w:after="0" w:line="240" w:lineRule="auto"/>
            </w:pPr>
            <w:r>
              <w:rPr>
                <w:rFonts w:ascii="Calibri" w:hAnsi="Calibri"/>
                <w:b w:val="0"/>
                <w:i w:val="0"/>
                <w:sz w:val="13"/>
              </w:rPr>
              <w:t>68</w:t>
            </w:r>
          </w:p>
        </w:tc>
        <w:tc>
          <w:tcPr>
            <w:tcW w:type="dxa" w:w="2600"/>
            <w:tcMar>
              <w:top w:w="65" w:type="dxa"/>
              <w:bottom w:w="65" w:type="dxa"/>
              <w:start w:w="90" w:type="dxa"/>
              <w:end w:w="90" w:type="dxa"/>
            </w:tcMar>
            <w:vAlign w:val="center"/>
          </w:tcPr>
          <w:p>
            <w:pPr>
              <w:spacing w:after="0" w:line="240" w:lineRule="auto"/>
            </w:pPr>
            <w:r>
              <w:rPr>
                <w:rFonts w:ascii="Calibri" w:hAnsi="Calibri"/>
                <w:b w:val="0"/>
                <w:i w:val="0"/>
                <w:sz w:val="13"/>
              </w:rPr>
              <w:t>llvm/llvm-project</w:t>
            </w:r>
          </w:p>
        </w:tc>
        <w:tc>
          <w:tcPr>
            <w:tcW w:type="dxa" w:w="1500"/>
            <w:tcMar>
              <w:top w:w="65" w:type="dxa"/>
              <w:bottom w:w="65" w:type="dxa"/>
              <w:start w:w="90" w:type="dxa"/>
              <w:end w:w="90" w:type="dxa"/>
            </w:tcMar>
            <w:vAlign w:val="center"/>
          </w:tcPr>
          <w:p>
            <w:pPr>
              <w:spacing w:after="0" w:line="240" w:lineRule="auto"/>
            </w:pPr>
            <w:r>
              <w:rPr>
                <w:rFonts w:ascii="Calibri" w:hAnsi="Calibri"/>
                <w:b w:val="0"/>
                <w:i w:val="0"/>
                <w:sz w:val="13"/>
              </w:rPr>
              <w:t>compiler</w:t>
            </w:r>
          </w:p>
        </w:tc>
        <w:tc>
          <w:tcPr>
            <w:tcW w:type="dxa" w:w="900"/>
            <w:tcMar>
              <w:top w:w="65" w:type="dxa"/>
              <w:bottom w:w="65" w:type="dxa"/>
              <w:start w:w="90" w:type="dxa"/>
              <w:end w:w="90" w:type="dxa"/>
            </w:tcMar>
            <w:vAlign w:val="center"/>
          </w:tcPr>
          <w:p>
            <w:pPr>
              <w:spacing w:after="0" w:line="240" w:lineRule="auto"/>
            </w:pPr>
            <w:r>
              <w:rPr>
                <w:rFonts w:ascii="Calibri" w:hAnsi="Calibri"/>
                <w:b w:val="0"/>
                <w:i w:val="0"/>
                <w:sz w:val="13"/>
              </w:rPr>
              <w:t>181,476</w:t>
            </w:r>
          </w:p>
        </w:tc>
        <w:tc>
          <w:tcPr>
            <w:tcW w:type="dxa" w:w="700"/>
            <w:tcMar>
              <w:top w:w="65" w:type="dxa"/>
              <w:bottom w:w="65" w:type="dxa"/>
              <w:start w:w="90" w:type="dxa"/>
              <w:end w:w="90" w:type="dxa"/>
            </w:tcMar>
            <w:vAlign w:val="center"/>
          </w:tcPr>
          <w:p>
            <w:pPr>
              <w:spacing w:after="0" w:line="240" w:lineRule="auto"/>
            </w:pPr>
            <w:r>
              <w:rPr>
                <w:rFonts w:ascii="Calibri" w:hAnsi="Calibri"/>
                <w:b w:val="0"/>
                <w:i w:val="0"/>
                <w:sz w:val="13"/>
              </w:rPr>
              <w:t>908</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c>
          <w:tcPr>
            <w:tcW w:type="dxa" w:w="1749"/>
            <w:tcMar>
              <w:top w:w="65" w:type="dxa"/>
              <w:bottom w:w="65" w:type="dxa"/>
              <w:start w:w="90" w:type="dxa"/>
              <w:end w:w="90" w:type="dxa"/>
            </w:tcMar>
            <w:vAlign w:val="center"/>
          </w:tcPr>
          <w:p>
            <w:pPr>
              <w:spacing w:after="0" w:line="240" w:lineRule="auto"/>
            </w:pPr>
            <w:r>
              <w:rPr>
                <w:rFonts w:ascii="Calibri" w:hAnsi="Calibri"/>
                <w:b w:val="0"/>
                <w:i w:val="0"/>
                <w:sz w:val="13"/>
              </w:rPr>
              <w:t>—</w:t>
            </w:r>
          </w:p>
        </w:tc>
      </w:tr>
    </w:tbl>
    <w:p>
      <w:pPr>
        <w:spacing w:after="0"/>
      </w:pPr>
    </w:p>
    <w:p>
      <w:pPr>
        <w:pStyle w:val="Heading1"/>
      </w:pPr>
      <w:r>
        <w:t>11. Four-Chamber Heart relationship</w:t>
      </w:r>
    </w:p>
    <w:p>
      <w:r>
        <w:rPr>
          <w:rFonts w:ascii="Calibri" w:hAnsi="Calibri"/>
          <w:b w:val="0"/>
          <w:i w:val="0"/>
          <w:sz w:val="19"/>
        </w:rPr>
        <w:t>The repository contains scripts/four-chamber-heart.py. Its current 28-qubit structure assigns Cloud q0–q6, Apex q7–q13, Spine q14–q20, and Estate q21–q27. The four seams are q6↔q7, q13↔q14, q20↔q21, and q27↔q0. The v2 source records that seams are coupled first, after which seam qubits remain controls or receive phase-only operations; this was introduced to correct v1 seam statistics near 0.50.</w:t>
      </w:r>
    </w:p>
    <w:p>
      <w:pPr>
        <w:pStyle w:val="ListBullet"/>
        <w:spacing w:after="60" w:line="252" w:lineRule="auto"/>
        <w:ind w:left="605" w:hanging="317"/>
      </w:pPr>
      <w:r>
        <w:rPr>
          <w:rFonts w:ascii="Calibri" w:hAnsi="Calibri"/>
          <w:b w:val="0"/>
          <w:i w:val="0"/>
          <w:sz w:val="19"/>
        </w:rPr>
        <w:t>Tree SHA material seats a seven-bit block in each chamber.</w:t>
      </w:r>
    </w:p>
    <w:p>
      <w:pPr>
        <w:pStyle w:val="ListBullet"/>
        <w:spacing w:after="60" w:line="252" w:lineRule="auto"/>
        <w:ind w:left="605" w:hanging="317"/>
      </w:pPr>
      <w:r>
        <w:rPr>
          <w:rFonts w:ascii="Calibri" w:hAnsi="Calibri"/>
          <w:b w:val="0"/>
          <w:i w:val="0"/>
          <w:sz w:val="19"/>
        </w:rPr>
        <w:t>Heartbeat liveness is represented as exp(−age_minutes/TAU_BEAT) and modulates phase.</w:t>
      </w:r>
    </w:p>
    <w:p>
      <w:pPr>
        <w:pStyle w:val="ListBullet"/>
        <w:spacing w:after="60" w:line="252" w:lineRule="auto"/>
        <w:ind w:left="605" w:hanging="317"/>
      </w:pPr>
      <w:r>
        <w:rPr>
          <w:rFonts w:ascii="Calibri" w:hAnsi="Calibri"/>
          <w:b w:val="0"/>
          <w:i w:val="0"/>
          <w:sz w:val="19"/>
        </w:rPr>
        <w:t>The code reports BEATING, SLOW, or STILL from commit age; it does not hide a stale chamber.</w:t>
      </w:r>
    </w:p>
    <w:p>
      <w:pPr>
        <w:pStyle w:val="ListBullet"/>
        <w:spacing w:after="60" w:line="252" w:lineRule="auto"/>
        <w:ind w:left="605" w:hanging="317"/>
      </w:pPr>
      <w:r>
        <w:rPr>
          <w:rFonts w:ascii="Calibri" w:hAnsi="Calibri"/>
          <w:b w:val="0"/>
          <w:i w:val="0"/>
          <w:sz w:val="19"/>
        </w:rPr>
        <w:t>The source’s seam statistic |2c−1| measures computational-basis correlation strength. By itself, that statistic is not a complete entanglement witness; the report therefore attributes the code’s ENTANGLED verdict to the runtime rather than presenting it as independent physical proof.</w:t>
      </w:r>
    </w:p>
    <w:p>
      <w:pPr>
        <w:pStyle w:val="Heading1"/>
      </w:pPr>
      <w:r>
        <w:t>12. Amazon S3 result-object evidence</w:t>
      </w:r>
    </w:p>
    <w:p>
      <w:pPr>
        <w:jc w:val="center"/>
      </w:pPr>
      <w:r>
        <w:drawing>
          <wp:inline xmlns:a="http://schemas.openxmlformats.org/drawingml/2006/main" xmlns:pic="http://schemas.openxmlformats.org/drawingml/2006/picture">
            <wp:extent cx="2788920" cy="6069828"/>
            <wp:docPr id="1" name="Picture 1"/>
            <wp:cNvGraphicFramePr>
              <a:graphicFrameLocks noChangeAspect="1"/>
            </wp:cNvGraphicFramePr>
            <a:graphic>
              <a:graphicData uri="http://schemas.openxmlformats.org/drawingml/2006/picture">
                <pic:pic>
                  <pic:nvPicPr>
                    <pic:cNvPr id="0" name="01-IMG_6604.png"/>
                    <pic:cNvPicPr/>
                  </pic:nvPicPr>
                  <pic:blipFill>
                    <a:blip r:embed="rId11"/>
                    <a:stretch>
                      <a:fillRect/>
                    </a:stretch>
                  </pic:blipFill>
                  <pic:spPr>
                    <a:xfrm>
                      <a:off x="0" y="0"/>
                      <a:ext cx="2788920" cy="6069828"/>
                    </a:xfrm>
                    <a:prstGeom prst="rect"/>
                  </pic:spPr>
                </pic:pic>
              </a:graphicData>
            </a:graphic>
          </wp:inline>
        </w:drawing>
      </w:r>
    </w:p>
    <w:p>
      <w:pPr>
        <w:jc w:val="center"/>
      </w:pPr>
      <w:r>
        <w:rPr>
          <w:rFonts w:ascii="Calibri" w:hAnsi="Calibri"/>
          <w:b w:val="0"/>
          <w:i/>
          <w:color w:val="5F6368"/>
          <w:sz w:val="16"/>
        </w:rPr>
        <w:t>Figure 1. Supplied AWS S3 console capture for results.json.</w:t>
      </w:r>
    </w:p>
    <w:p>
      <w:r>
        <w:rPr>
          <w:rFonts w:ascii="Calibri" w:hAnsi="Calibri"/>
          <w:b w:val="0"/>
          <w:i w:val="0"/>
          <w:sz w:val="19"/>
        </w:rPr>
        <w:t>The screenshot displays a results.json object under the p3q-world-swarm-81 prefix in bucket amazon-braket-125746528360. The visible key is p3q-world-swarm-81/5074adbb-3812-4f8b-a624-a2debb033bec/51b9193a-7887-49cd-9a75-0e384903be15/results.json. The visible ETag is 1941869fbd09eba7b830ada94d1bcf54. This establishes object-level provenance in the supplied console view; the object payload was not supplied, so its internal results are not inferred here.</w:t>
      </w:r>
    </w:p>
    <w:p>
      <w:pPr>
        <w:pStyle w:val="Heading1"/>
      </w:pPr>
      <w:r>
        <w:t>13. Completion status and record integrity</w:t>
      </w:r>
    </w:p>
    <w:tbl>
      <w:tblPr>
        <w:tblStyle w:val="TableGrid"/>
        <w:tblW w:type="dxa" w:w="9648"/>
        <w:jc w:val="left"/>
        <w:tblLayout w:type="fixed"/>
        <w:tblLook w:firstColumn="1" w:firstRow="1" w:lastColumn="0" w:lastRow="0" w:noHBand="0" w:noVBand="1" w:val="04A0"/>
        <w:tblInd w:w="0" w:type="dxa"/>
      </w:tblPr>
      <w:tblGrid>
        <w:gridCol w:w="9648"/>
      </w:tblGrid>
      <w:tr>
        <w:trPr>
          <w:cantSplit/>
        </w:trPr>
        <w:tc>
          <w:tcPr>
            <w:tcW w:type="dxa" w:w="9648"/>
            <w:shd w:fill="EAF4EA"/>
            <w:tcMar>
              <w:top w:w="65" w:type="dxa"/>
              <w:bottom w:w="65" w:type="dxa"/>
              <w:start w:w="90" w:type="dxa"/>
              <w:end w:w="90" w:type="dxa"/>
            </w:tcMar>
            <w:vAlign w:val="center"/>
          </w:tcPr>
          <w:p>
            <w:r>
              <w:rPr>
                <w:rFonts w:ascii="Calibri" w:hAnsi="Calibri"/>
                <w:b/>
                <w:i w:val="0"/>
                <w:color w:val="0B2545"/>
                <w:sz w:val="20"/>
              </w:rPr>
              <w:t xml:space="preserve">Terminal conclusion. </w:t>
            </w:r>
            <w:r>
              <w:rPr>
                <w:rFonts w:ascii="Calibri" w:hAnsi="Calibri"/>
                <w:b w:val="0"/>
                <w:i w:val="0"/>
                <w:sz w:val="19"/>
              </w:rPr>
              <w:t>The supplied transcript records a successful 3,562-of-3,562 completion. All scheduled work closed, the node distribution balanced exactly within one assignment, receipt and REX audits validated, the spine remained conserved, and governance remained sustained. The installed runtime was operational at execution time. Present-moment heartbeat status is a separate telemetry question and does not diminish the completed result.</w:t>
            </w:r>
          </w:p>
        </w:tc>
      </w:tr>
    </w:tbl>
    <w:p>
      <w:pPr>
        <w:spacing w:after="0"/>
      </w:pPr>
    </w:p>
    <w:p>
      <w:r>
        <w:rPr>
          <w:rFonts w:ascii="Calibri" w:hAnsi="Calibri"/>
          <w:b/>
          <w:i w:val="0"/>
          <w:color w:val="0B2545"/>
          <w:sz w:val="19"/>
        </w:rPr>
        <w:t>Record-integrity note.</w:t>
      </w:r>
      <w:r>
        <w:rPr>
          <w:rFonts w:ascii="Calibri" w:hAnsi="Calibri"/>
          <w:b w:val="0"/>
          <w:i w:val="0"/>
          <w:sz w:val="19"/>
        </w:rPr>
        <w:t xml:space="preserve"> This report consolidates the execution transcript, QMI master manifest, quarantine intake ledger, Four-Chamber Heart source/history, prior technical reports, and the supplied S3 screenshot. It preserves the recorded results without rerunning, altering, or reconstructing the underlying execution. Clinical claims and protected enabling mathematics remain outside this execution report.</w:t>
      </w:r>
    </w:p>
    <w:p>
      <w:pPr>
        <w:pStyle w:val="Heading1"/>
      </w:pPr>
      <w:r>
        <w:t>14. Pulled report register and historical continuity</w:t>
      </w:r>
    </w:p>
    <w:tbl>
      <w:tblPr>
        <w:tblStyle w:val="TableGrid"/>
        <w:tblW w:type="dxa" w:w="9648"/>
        <w:jc w:val="left"/>
        <w:tblLayout w:type="fixed"/>
        <w:tblLook w:firstColumn="1" w:firstRow="1" w:lastColumn="0" w:lastRow="0" w:noHBand="0" w:noVBand="1" w:val="04A0"/>
        <w:tblInd w:w="120" w:type="dxa"/>
      </w:tblPr>
      <w:tblGrid>
        <w:gridCol w:w="3000"/>
        <w:gridCol w:w="1600"/>
        <w:gridCol w:w="5048"/>
      </w:tblGrid>
      <w:tr>
        <w:trPr>
          <w:tblHeader w:val="true"/>
          <w:cantSplit/>
        </w:trPr>
        <w:tc>
          <w:tcPr>
            <w:tcW w:type="dxa" w:w="3000"/>
            <w:shd w:fill="F2F4F7"/>
            <w:tcMar>
              <w:top w:w="65" w:type="dxa"/>
              <w:bottom w:w="65" w:type="dxa"/>
              <w:start w:w="90" w:type="dxa"/>
              <w:end w:w="90" w:type="dxa"/>
            </w:tcMar>
            <w:vAlign w:val="center"/>
          </w:tcPr>
          <w:p>
            <w:r>
              <w:rPr>
                <w:rFonts w:ascii="Calibri" w:hAnsi="Calibri"/>
                <w:b/>
                <w:i w:val="0"/>
                <w:color w:val="0B2545"/>
                <w:sz w:val="15"/>
              </w:rPr>
              <w:t>Report / artifact</w:t>
            </w:r>
          </w:p>
        </w:tc>
        <w:tc>
          <w:tcPr>
            <w:tcW w:type="dxa" w:w="1600"/>
            <w:shd w:fill="F2F4F7"/>
            <w:tcMar>
              <w:top w:w="65" w:type="dxa"/>
              <w:bottom w:w="65" w:type="dxa"/>
              <w:start w:w="90" w:type="dxa"/>
              <w:end w:w="90" w:type="dxa"/>
            </w:tcMar>
            <w:vAlign w:val="center"/>
          </w:tcPr>
          <w:p>
            <w:r>
              <w:rPr>
                <w:rFonts w:ascii="Calibri" w:hAnsi="Calibri"/>
                <w:b/>
                <w:i w:val="0"/>
                <w:color w:val="0B2545"/>
                <w:sz w:val="15"/>
              </w:rPr>
              <w:t>Date or scope</w:t>
            </w:r>
          </w:p>
        </w:tc>
        <w:tc>
          <w:tcPr>
            <w:tcW w:type="dxa" w:w="5048"/>
            <w:shd w:fill="F2F4F7"/>
            <w:tcMar>
              <w:top w:w="65" w:type="dxa"/>
              <w:bottom w:w="65" w:type="dxa"/>
              <w:start w:w="90" w:type="dxa"/>
              <w:end w:w="90" w:type="dxa"/>
            </w:tcMar>
            <w:vAlign w:val="center"/>
          </w:tcPr>
          <w:p>
            <w:r>
              <w:rPr>
                <w:rFonts w:ascii="Calibri" w:hAnsi="Calibri"/>
                <w:b/>
                <w:i w:val="0"/>
                <w:color w:val="0B2545"/>
                <w:sz w:val="15"/>
              </w:rPr>
              <w:t>Contribution to this record</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DCGP-AI MC290 Pharma Complete Mining Report</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July 20,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66-pair Pharma baseline; 22 non-neutral outcomes; verdict classes; Alz R2/R3/R4; SLFN11→PARPi sequence; infrastructure provenance.</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MC290 Collider Report — Planet-Level Production</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August 2,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Three-pass production history: 455-entry first pass, parallel second/third passes, stable-island and deterministic-run context.</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MC290 + MH66 + CLPG + Polaritron Integration Report</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May 31,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Historical four-layer system framing from simulation/topology through circuit, validation apparatus, and deployment concept.</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DCGP.AI Quantum Circuit Execution Proof</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July 14,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Report of 137 governed circuits with zero failures, circuit registry examples, hardware-driver simulation, and constellation snapshot.</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81-Qubit Governed Runtime execution record</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August 13,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One 81-qubit governed circuit with multiple QPU executions; preserved in the append-only agent record and public execution-record banner.</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P3Q 81 World Swarm launcher / S3 object evidence</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August 13,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Separate 81-circuit receipt-chain campaign with cost-gated QPU anchors and screenshot provenance for results.json; not the source of the 81-qubit width claim.</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3,562-instance swarm algorithm and workflow</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August 12,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Per-coin Pharma/MC290/P27/P28/stable-island pipeline; 7.124 million configured circuits, 712.4 million shots, bounded Graviton concurrency.</w:t>
            </w:r>
          </w:p>
        </w:tc>
      </w:tr>
      <w:tr>
        <w:trPr>
          <w:cantSplit/>
        </w:trPr>
        <w:tc>
          <w:tcPr>
            <w:tcW w:type="dxa" w:w="3000"/>
            <w:tcMar>
              <w:top w:w="65" w:type="dxa"/>
              <w:bottom w:w="65" w:type="dxa"/>
              <w:start w:w="90" w:type="dxa"/>
              <w:end w:w="90" w:type="dxa"/>
            </w:tcMar>
            <w:vAlign w:val="center"/>
          </w:tcPr>
          <w:p>
            <w:pPr>
              <w:spacing w:after="0" w:line="240" w:lineRule="auto"/>
            </w:pPr>
            <w:r>
              <w:rPr>
                <w:rFonts w:ascii="Calibri" w:hAnsi="Calibri"/>
                <w:b/>
                <w:i w:val="0"/>
                <w:sz w:val="15"/>
              </w:rPr>
              <w:t>Atlasaurus Rex P3Q Pharma Collider terminal record</w:t>
            </w:r>
          </w:p>
        </w:tc>
        <w:tc>
          <w:tcPr>
            <w:tcW w:type="dxa" w:w="1600"/>
            <w:tcMar>
              <w:top w:w="65" w:type="dxa"/>
              <w:bottom w:w="65" w:type="dxa"/>
              <w:start w:w="90" w:type="dxa"/>
              <w:end w:w="90" w:type="dxa"/>
            </w:tcMar>
            <w:vAlign w:val="center"/>
          </w:tcPr>
          <w:p>
            <w:pPr>
              <w:spacing w:after="0" w:line="240" w:lineRule="auto"/>
            </w:pPr>
            <w:r>
              <w:rPr>
                <w:rFonts w:ascii="Calibri" w:hAnsi="Calibri"/>
                <w:b w:val="0"/>
                <w:i w:val="0"/>
                <w:sz w:val="15"/>
              </w:rPr>
              <w:t>August 12, 2026</w:t>
            </w:r>
          </w:p>
        </w:tc>
        <w:tc>
          <w:tcPr>
            <w:tcW w:type="dxa" w:w="5048"/>
            <w:tcMar>
              <w:top w:w="65" w:type="dxa"/>
              <w:bottom w:w="65" w:type="dxa"/>
              <w:start w:w="90" w:type="dxa"/>
              <w:end w:w="90" w:type="dxa"/>
            </w:tcMar>
            <w:vAlign w:val="center"/>
          </w:tcPr>
          <w:p>
            <w:pPr>
              <w:spacing w:after="0" w:line="240" w:lineRule="auto"/>
            </w:pPr>
            <w:r>
              <w:rPr>
                <w:rFonts w:ascii="Calibri" w:hAnsi="Calibri"/>
                <w:b w:val="0"/>
                <w:i w:val="0"/>
                <w:sz w:val="15"/>
              </w:rPr>
              <w:t>Direct 3,562/3,562 completion record, 22-node distribution, receipts, audit heads, conserved spine, and complete=true.</w:t>
            </w:r>
          </w:p>
        </w:tc>
      </w:tr>
    </w:tbl>
    <w:p>
      <w:pPr>
        <w:spacing w:after="0"/>
      </w:pPr>
    </w:p>
    <w:p>
      <w:r>
        <w:rPr>
          <w:rFonts w:ascii="Calibri" w:hAnsi="Calibri"/>
          <w:b w:val="0"/>
          <w:i w:val="0"/>
          <w:sz w:val="19"/>
        </w:rPr>
        <w:t>Artifact location note. The terminal summary declares p3q_pharma_collider_receipts.jsonl, p3q_pharma_collider_summary.json, and p3q_circuit_manifests.json under /opt/atlasaurus-rex-p3q/runtime_data. The supplied S3 screenshot separately anchors the results.json object identity. This report records those locations and identifiers exactly and does not invent replacement payloads.</w:t>
      </w:r>
    </w:p>
    <w:p>
      <w:pPr>
        <w:pStyle w:val="Heading1"/>
      </w:pPr>
      <w:r>
        <w:t>15. Final synthesis</w:t>
      </w:r>
    </w:p>
    <w:p>
      <w:r>
        <w:rPr>
          <w:rFonts w:ascii="Calibri" w:hAnsi="Calibri"/>
          <w:b w:val="0"/>
          <w:i w:val="0"/>
          <w:sz w:val="19"/>
        </w:rPr>
        <w:t>The combined record documents two different and complementary scaling achievements built by Joshua L. Lopez. First, the August 12 Pharma Collider execution completed a 3,562-instance governed population run: every scheduled coin instance completed, every run received a receipt, the 22-node spine remained balanced and conserved, the REX audit validated, and governance remained sustained. Second, the August 13 record reached one 81-qubit governed circuit with multiple QPU execution records. The first establishes breadth—population-scale parallel orchestration, identity, and accountability. The second establishes width—the progressive construction of one large governed circuit from the root rule that coupling begins with two states. Together they show an architecture capable of scaling both the number of governed workloads and the size of the governed quantum object while preserving continuity, phase, provenance, and operator authority.</w:t>
      </w:r>
    </w:p>
    <w:p>
      <w:pPr>
        <w:spacing w:before="240"/>
      </w:pPr>
      <w:r>
        <w:rPr>
          <w:rFonts w:ascii="Calibri" w:hAnsi="Calibri"/>
          <w:b/>
          <w:i w:val="0"/>
          <w:color w:val="5F6368"/>
          <w:sz w:val="17"/>
        </w:rPr>
        <w:t xml:space="preserve">Attribution: </w:t>
      </w:r>
      <w:r>
        <w:rPr>
          <w:rFonts w:ascii="Calibri" w:hAnsi="Calibri"/>
          <w:b w:val="0"/>
          <w:i/>
          <w:color w:val="5F6368"/>
          <w:sz w:val="17"/>
        </w:rPr>
        <w:t>Architecture, terminology, mathematics, and system concepts are attributed exclusively to Joshua L. Lopez. This report is an evidence-based restatement of his existing architecture and supplied execution records.</w:t>
      </w:r>
    </w:p>
    <w:sectPr w:rsidR="00FC693F" w:rsidRPr="0006063C" w:rsidSect="00034616">
      <w:headerReference w:type="default" r:id="rId9"/>
      <w:footerReference w:type="default" r:id="rId10"/>
      <w:pgSz w:w="12240" w:h="15840"/>
      <w:pgMar w:top="1181" w:right="1224" w:bottom="1037" w:left="1224"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F6368"/>
        <w:sz w:val="15"/>
      </w:rPr>
      <w:t>Joshua L. Lopez — P3Q Pharma Collider / QMI Lineage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b/>
        <w:i w:val="0"/>
        <w:color w:val="5F6368"/>
        <w:sz w:val="16"/>
      </w:rPr>
      <w:t>DCGP.AI LLC  |  CONFIDENTIAL TECHNICAL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Calibri" w:hAnsi="Calibri"/>
      <w:b/>
      <w:bCs/>
      <w:color w:val="1F4D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DCGP 3562 P3Q Pharma Collider Full Execution and Lineage Report</dc:title>
  <dc:subject>3,562-run execution, 22-node spine, QMI lineage, Four-Chamber Heart, and S3 provenance</dc:subject>
  <dc:creator>Joshua L. Lopez</dc:creator>
  <cp:keywords/>
  <dc:description>generated by python-docx</dc:description>
  <cp:lastModifiedBy/>
  <cp:revision>1</cp:revision>
  <dcterms:created xsi:type="dcterms:W3CDTF">2013-12-23T23:15:00Z</dcterms:created>
  <dcterms:modified xsi:type="dcterms:W3CDTF">2013-12-23T23:15:00Z</dcterms:modified>
  <cp:category/>
</cp:coreProperties>
</file>